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2FFBEE62"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1D0F13">
        <w:rPr>
          <w:rFonts w:ascii="Arial" w:eastAsia="SimSun" w:hAnsi="Arial" w:cs="Times New Roman"/>
          <w:b/>
          <w:sz w:val="24"/>
          <w:szCs w:val="20"/>
        </w:rPr>
        <w:t>6</w:t>
      </w:r>
      <w:r w:rsidR="003B0849">
        <w:rPr>
          <w:rFonts w:ascii="Arial" w:eastAsia="SimSun" w:hAnsi="Arial" w:cs="Times New Roman"/>
          <w:b/>
          <w:sz w:val="24"/>
          <w:szCs w:val="20"/>
        </w:rPr>
        <w:t>bis</w:t>
      </w:r>
      <w:r w:rsidRPr="008B136E">
        <w:rPr>
          <w:rFonts w:ascii="Arial" w:eastAsia="SimSun" w:hAnsi="Arial" w:cs="Times New Roman"/>
          <w:b/>
          <w:bCs/>
          <w:sz w:val="24"/>
          <w:szCs w:val="20"/>
        </w:rPr>
        <w:tab/>
      </w:r>
      <w:r w:rsidR="006F7514" w:rsidRPr="00CE7FBC">
        <w:rPr>
          <w:rFonts w:ascii="Arial" w:eastAsia="SimSun" w:hAnsi="Arial" w:cs="Times New Roman"/>
          <w:b/>
          <w:bCs/>
          <w:sz w:val="24"/>
          <w:szCs w:val="20"/>
          <w:lang w:eastAsia="ja-JP"/>
        </w:rPr>
        <w:t>R4-252209</w:t>
      </w:r>
      <w:r w:rsidR="006F7514">
        <w:rPr>
          <w:rFonts w:ascii="Arial" w:eastAsia="SimSun" w:hAnsi="Arial" w:cs="Times New Roman"/>
          <w:b/>
          <w:bCs/>
          <w:sz w:val="24"/>
          <w:szCs w:val="20"/>
          <w:lang w:eastAsia="ja-JP"/>
        </w:rPr>
        <w:t>4</w:t>
      </w:r>
    </w:p>
    <w:bookmarkEnd w:id="0"/>
    <w:bookmarkEnd w:id="1"/>
    <w:p w14:paraId="409B431D" w14:textId="62E552EF" w:rsidR="00841BCD" w:rsidRDefault="00FF6036"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FF6036">
        <w:rPr>
          <w:rFonts w:ascii="Arial" w:eastAsia="SimSun" w:hAnsi="Arial" w:cs="Times New Roman"/>
          <w:b/>
          <w:sz w:val="24"/>
          <w:szCs w:val="20"/>
        </w:rPr>
        <w:t>Dallas, US, 17th – 21st November 2025</w:t>
      </w:r>
    </w:p>
    <w:p w14:paraId="135FF276" w14:textId="77777777" w:rsidR="00FF6036" w:rsidRPr="008B136E" w:rsidRDefault="00FF6036"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B136E">
        <w:rPr>
          <w:rFonts w:ascii="Arial" w:eastAsia="Calibri" w:hAnsi="Arial" w:cs="Arial"/>
          <w:b/>
          <w:bCs/>
          <w:sz w:val="24"/>
        </w:rPr>
        <w:t>Source:</w:t>
      </w:r>
      <w:r w:rsidRPr="008B136E">
        <w:rPr>
          <w:rFonts w:ascii="Arial" w:eastAsia="Calibri" w:hAnsi="Arial" w:cs="Arial"/>
          <w:b/>
          <w:bCs/>
          <w:sz w:val="24"/>
        </w:rPr>
        <w:tab/>
        <w:t>Nokia</w:t>
      </w:r>
    </w:p>
    <w:p w14:paraId="53F44741" w14:textId="2186714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516DC" w:rsidRPr="00B516DC">
        <w:rPr>
          <w:rFonts w:ascii="Arial" w:eastAsia="Calibri" w:hAnsi="Arial" w:cs="Arial"/>
          <w:b/>
          <w:bCs/>
          <w:sz w:val="24"/>
        </w:rPr>
        <w:t xml:space="preserve">On remaining </w:t>
      </w:r>
      <w:r w:rsidR="002A6A7A">
        <w:rPr>
          <w:rFonts w:ascii="Arial" w:eastAsia="Calibri" w:hAnsi="Arial" w:cs="Arial"/>
          <w:b/>
          <w:bCs/>
          <w:sz w:val="24"/>
        </w:rPr>
        <w:t>LBCA</w:t>
      </w:r>
      <w:r w:rsidR="00B516DC" w:rsidRPr="00B516DC">
        <w:rPr>
          <w:rFonts w:ascii="Arial" w:eastAsia="Calibri" w:hAnsi="Arial" w:cs="Arial"/>
          <w:b/>
          <w:bCs/>
          <w:sz w:val="24"/>
        </w:rPr>
        <w:t xml:space="preserve"> requirements</w:t>
      </w:r>
    </w:p>
    <w:p w14:paraId="5D5E70D6" w14:textId="04EDD18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C4222" w:rsidRPr="003C4222">
        <w:rPr>
          <w:rFonts w:ascii="Arial" w:eastAsia="MS Mincho" w:hAnsi="Arial" w:cs="Arial"/>
          <w:b/>
          <w:bCs/>
          <w:sz w:val="24"/>
          <w:szCs w:val="20"/>
        </w:rPr>
        <w:t>4.8.2</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073F84BE" w:rsidR="00C838F3" w:rsidRPr="008F786B" w:rsidRDefault="00C260B7" w:rsidP="005C23A4">
      <w:r>
        <w:t xml:space="preserve">In this contribution we discuss the remaining issues related to </w:t>
      </w:r>
      <w:r w:rsidR="002A6A7A">
        <w:t>core part requirements for LBCA via switching</w:t>
      </w:r>
      <w:r>
        <w:t>.</w:t>
      </w:r>
    </w:p>
    <w:p w14:paraId="73928127" w14:textId="290E0D5F" w:rsidR="00D60E48" w:rsidRDefault="004F5F61" w:rsidP="003B0849">
      <w:pPr>
        <w:pStyle w:val="RAN4H1"/>
      </w:pPr>
      <w:r>
        <w:t>Discussion</w:t>
      </w:r>
    </w:p>
    <w:p w14:paraId="28531AD0" w14:textId="5C023021" w:rsidR="00B57CD0" w:rsidRDefault="002F08D1" w:rsidP="00477E1D">
      <w:pPr>
        <w:pStyle w:val="RAN4H2"/>
        <w:rPr>
          <w:lang w:val="en-US"/>
        </w:rPr>
      </w:pPr>
      <w:r>
        <w:rPr>
          <w:lang w:val="en-US"/>
        </w:rPr>
        <w:t>SCell activation delay</w:t>
      </w:r>
    </w:p>
    <w:p w14:paraId="382A712A" w14:textId="46384082" w:rsidR="00417339" w:rsidRDefault="00352F94" w:rsidP="00417339">
      <w:r>
        <w:t xml:space="preserve">In the last meeting, RAN4 agreed the following about </w:t>
      </w:r>
      <w:r w:rsidR="00FB08B9">
        <w:rPr>
          <w:lang w:val="en-US"/>
        </w:rPr>
        <w:t>T</w:t>
      </w:r>
      <w:r w:rsidR="00FB08B9" w:rsidRPr="00FB08B9">
        <w:rPr>
          <w:vertAlign w:val="subscript"/>
          <w:lang w:val="en-US"/>
        </w:rPr>
        <w:t>LBCA</w:t>
      </w:r>
      <w:r w:rsidR="00FB08B9">
        <w:t xml:space="preserve"> </w:t>
      </w:r>
      <w:r>
        <w:t>for SCell activation: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0635A" w14:paraId="6A5EA904" w14:textId="77777777" w:rsidTr="003D50F5">
        <w:tc>
          <w:tcPr>
            <w:tcW w:w="9617" w:type="dxa"/>
          </w:tcPr>
          <w:p w14:paraId="0A139A6D" w14:textId="77777777" w:rsidR="0050635A" w:rsidRPr="0050635A" w:rsidRDefault="0050635A" w:rsidP="0050635A">
            <w:pPr>
              <w:rPr>
                <w:lang w:val="en-US"/>
              </w:rPr>
            </w:pPr>
            <w:r w:rsidRPr="0050635A">
              <w:rPr>
                <w:b/>
                <w:bCs/>
                <w:u w:val="single"/>
                <w:lang w:val="en-US"/>
              </w:rPr>
              <w:t>Issue 1-1-3b: switching pattern based carrier switching in SCell activation</w:t>
            </w:r>
          </w:p>
          <w:p w14:paraId="2D180650" w14:textId="77777777" w:rsidR="0050635A" w:rsidRPr="0050635A" w:rsidRDefault="0050635A" w:rsidP="0050635A">
            <w:pPr>
              <w:rPr>
                <w:lang w:val="en-US"/>
              </w:rPr>
            </w:pPr>
            <w:r w:rsidRPr="0050635A">
              <w:rPr>
                <w:b/>
                <w:bCs/>
                <w:u w:val="single"/>
                <w:lang w:val="en-US"/>
              </w:rPr>
              <w:t> </w:t>
            </w:r>
          </w:p>
          <w:p w14:paraId="0DB7062E" w14:textId="77777777" w:rsidR="0050635A" w:rsidRPr="0050635A" w:rsidRDefault="0050635A" w:rsidP="0050635A">
            <w:pPr>
              <w:rPr>
                <w:lang w:val="en-US"/>
              </w:rPr>
            </w:pPr>
            <w:r w:rsidRPr="0050635A">
              <w:rPr>
                <w:lang w:val="en-US"/>
              </w:rPr>
              <w:t>Agreement:</w:t>
            </w:r>
          </w:p>
          <w:p w14:paraId="4174C164" w14:textId="77777777" w:rsidR="0050635A" w:rsidRDefault="0050635A" w:rsidP="0050635A">
            <w:pPr>
              <w:numPr>
                <w:ilvl w:val="0"/>
                <w:numId w:val="34"/>
              </w:numPr>
              <w:rPr>
                <w:lang w:val="en-US"/>
              </w:rPr>
            </w:pPr>
            <w:r w:rsidRPr="0050635A">
              <w:rPr>
                <w:lang w:val="en-US"/>
              </w:rPr>
              <w:t>T</w:t>
            </w:r>
            <w:r w:rsidRPr="0050635A">
              <w:rPr>
                <w:vertAlign w:val="subscript"/>
                <w:lang w:val="en-US"/>
              </w:rPr>
              <w:t>LBCA</w:t>
            </w:r>
            <w:r w:rsidRPr="0050635A">
              <w:rPr>
                <w:lang w:val="en-US"/>
              </w:rPr>
              <w:t xml:space="preserve"> =1ms for MAC CE based, 0 ms for RRC based.</w:t>
            </w:r>
          </w:p>
          <w:p w14:paraId="736FB1E0" w14:textId="77777777" w:rsidR="00C72689" w:rsidRDefault="00C72689" w:rsidP="00C72689">
            <w:pPr>
              <w:rPr>
                <w:lang w:val="en-US"/>
              </w:rPr>
            </w:pPr>
          </w:p>
          <w:p w14:paraId="0A7A1662" w14:textId="314D50D5" w:rsidR="00C72689" w:rsidRDefault="00C72689" w:rsidP="00C72689">
            <w:pPr>
              <w:rPr>
                <w:lang w:val="en-US"/>
              </w:rPr>
            </w:pPr>
            <w:r>
              <w:rPr>
                <w:lang w:val="en-US"/>
              </w:rPr>
              <w:t>For the same issue, the chair meeting minutes contains the following tentative agreement</w:t>
            </w:r>
            <w:r w:rsidR="003E15EE">
              <w:rPr>
                <w:lang w:val="en-US"/>
              </w:rPr>
              <w:t>:</w:t>
            </w:r>
          </w:p>
          <w:p w14:paraId="6EC08113" w14:textId="77777777" w:rsidR="00C72689" w:rsidRDefault="00C72689" w:rsidP="00C72689">
            <w:pPr>
              <w:rPr>
                <w:lang w:val="en-US"/>
              </w:rPr>
            </w:pPr>
          </w:p>
          <w:p w14:paraId="6405BFCA" w14:textId="77777777" w:rsidR="00C72689" w:rsidRPr="00072B52" w:rsidRDefault="00C72689" w:rsidP="00C72689">
            <w:pPr>
              <w:pStyle w:val="BodyText"/>
              <w:tabs>
                <w:tab w:val="clear" w:pos="720"/>
              </w:tabs>
              <w:overflowPunct/>
              <w:autoSpaceDE/>
              <w:autoSpaceDN/>
              <w:adjustRightInd/>
              <w:ind w:firstLine="0"/>
              <w:jc w:val="left"/>
              <w:textAlignment w:val="baseline"/>
              <w:rPr>
                <w:rFonts w:eastAsia="DengXian"/>
                <w:color w:val="993300"/>
                <w:highlight w:val="yellow"/>
                <w:u w:val="single"/>
                <w:lang w:val="en-GB" w:eastAsia="zh-CN"/>
              </w:rPr>
            </w:pPr>
            <w:r w:rsidRPr="00072B52">
              <w:rPr>
                <w:sz w:val="21"/>
                <w:szCs w:val="21"/>
                <w:highlight w:val="yellow"/>
              </w:rPr>
              <w:t>Tentative Agreement:</w:t>
            </w:r>
          </w:p>
          <w:p w14:paraId="4B9BA73C" w14:textId="77777777" w:rsidR="00C72689" w:rsidRPr="00072B52" w:rsidRDefault="00C72689" w:rsidP="00C72689">
            <w:pPr>
              <w:pStyle w:val="BodyText"/>
              <w:numPr>
                <w:ilvl w:val="0"/>
                <w:numId w:val="35"/>
              </w:numPr>
              <w:tabs>
                <w:tab w:val="clear" w:pos="720"/>
              </w:tabs>
              <w:overflowPunct/>
              <w:autoSpaceDE/>
              <w:autoSpaceDN/>
              <w:adjustRightInd/>
              <w:jc w:val="left"/>
              <w:rPr>
                <w:rFonts w:eastAsia="Times New Roman"/>
                <w:sz w:val="21"/>
                <w:szCs w:val="21"/>
                <w:highlight w:val="yellow"/>
              </w:rPr>
            </w:pPr>
            <w:r w:rsidRPr="00072B52">
              <w:rPr>
                <w:sz w:val="21"/>
                <w:szCs w:val="21"/>
                <w:highlight w:val="yellow"/>
              </w:rPr>
              <w:t>For MAC CE based SCell activation procedure, if the SCell activation command is received at slot n, the UE shall switch to the SCell on the first slot that belongs to the SCell as per the switching pattern, occurring after the slot at: n+(T</w:t>
            </w:r>
            <w:r w:rsidRPr="00072B52">
              <w:rPr>
                <w:sz w:val="21"/>
                <w:szCs w:val="21"/>
                <w:highlight w:val="yellow"/>
                <w:vertAlign w:val="subscript"/>
              </w:rPr>
              <w:t>HARQ</w:t>
            </w:r>
            <w:r w:rsidRPr="00072B52">
              <w:rPr>
                <w:sz w:val="21"/>
                <w:szCs w:val="21"/>
                <w:highlight w:val="yellow"/>
              </w:rPr>
              <w:t>+3ms+T</w:t>
            </w:r>
            <w:r w:rsidRPr="00072B52">
              <w:rPr>
                <w:sz w:val="21"/>
                <w:szCs w:val="21"/>
                <w:highlight w:val="yellow"/>
                <w:vertAlign w:val="subscript"/>
              </w:rPr>
              <w:t>LBCA</w:t>
            </w:r>
            <w:r w:rsidRPr="00072B52">
              <w:rPr>
                <w:sz w:val="21"/>
                <w:szCs w:val="21"/>
                <w:highlight w:val="yellow"/>
              </w:rPr>
              <w:t>)/slot-length.</w:t>
            </w:r>
            <w:r w:rsidRPr="00072B52">
              <w:rPr>
                <w:bCs/>
                <w:sz w:val="21"/>
                <w:szCs w:val="21"/>
                <w:highlight w:val="yellow"/>
              </w:rPr>
              <w:t xml:space="preserve"> Switching is placed at the end of the slot.</w:t>
            </w:r>
          </w:p>
          <w:p w14:paraId="2D6B967E" w14:textId="77777777" w:rsidR="00C72689" w:rsidRPr="00072B52" w:rsidRDefault="00C72689" w:rsidP="00C72689">
            <w:pPr>
              <w:pStyle w:val="BodyText"/>
              <w:numPr>
                <w:ilvl w:val="0"/>
                <w:numId w:val="35"/>
              </w:numPr>
              <w:tabs>
                <w:tab w:val="clear" w:pos="720"/>
              </w:tabs>
              <w:overflowPunct/>
              <w:autoSpaceDE/>
              <w:autoSpaceDN/>
              <w:adjustRightInd/>
              <w:jc w:val="left"/>
              <w:textAlignment w:val="baseline"/>
              <w:rPr>
                <w:rFonts w:eastAsia="DengXian"/>
                <w:color w:val="993300"/>
                <w:highlight w:val="yellow"/>
                <w:u w:val="single"/>
                <w:lang w:val="en-GB" w:eastAsia="zh-CN"/>
              </w:rPr>
            </w:pPr>
            <w:r w:rsidRPr="00072B52">
              <w:rPr>
                <w:sz w:val="21"/>
                <w:szCs w:val="21"/>
                <w:highlight w:val="yellow"/>
              </w:rPr>
              <w:t>For RRC based direct SCell activation procedure, if the SCell activation command is received at slot n, the UE shall switch to the SCell on the first slot that belongs to the SCell as per the switching pattern, occurring after the slot at: n+(T</w:t>
            </w:r>
            <w:r w:rsidRPr="00072B52">
              <w:rPr>
                <w:sz w:val="21"/>
                <w:szCs w:val="21"/>
                <w:highlight w:val="yellow"/>
                <w:vertAlign w:val="subscript"/>
              </w:rPr>
              <w:t>RRC_Process</w:t>
            </w:r>
            <w:r w:rsidRPr="00072B52">
              <w:rPr>
                <w:sz w:val="21"/>
                <w:szCs w:val="21"/>
                <w:highlight w:val="yellow"/>
              </w:rPr>
              <w:t xml:space="preserve"> +T</w:t>
            </w:r>
            <w:r w:rsidRPr="00072B52">
              <w:rPr>
                <w:sz w:val="21"/>
                <w:szCs w:val="21"/>
                <w:highlight w:val="yellow"/>
                <w:vertAlign w:val="subscript"/>
              </w:rPr>
              <w:t>LBCA</w:t>
            </w:r>
            <w:r w:rsidRPr="00072B52">
              <w:rPr>
                <w:sz w:val="21"/>
                <w:szCs w:val="21"/>
                <w:highlight w:val="yellow"/>
              </w:rPr>
              <w:t>)/slot-length.</w:t>
            </w:r>
            <w:r w:rsidRPr="00072B52">
              <w:rPr>
                <w:bCs/>
                <w:sz w:val="21"/>
                <w:szCs w:val="21"/>
                <w:highlight w:val="yellow"/>
              </w:rPr>
              <w:t xml:space="preserve"> Switching is placed at the end of the slot.</w:t>
            </w:r>
          </w:p>
          <w:p w14:paraId="2AF093B1" w14:textId="614FDFDF" w:rsidR="0050635A" w:rsidRPr="0050635A" w:rsidRDefault="0050635A" w:rsidP="00417339">
            <w:pPr>
              <w:rPr>
                <w:lang w:val="en-US"/>
              </w:rPr>
            </w:pPr>
          </w:p>
        </w:tc>
      </w:tr>
    </w:tbl>
    <w:p w14:paraId="7FE22A91" w14:textId="77777777" w:rsidR="00352F94" w:rsidRDefault="00352F94" w:rsidP="00417339"/>
    <w:p w14:paraId="603EFAF8" w14:textId="1D39A777" w:rsidR="0050635A" w:rsidRDefault="0050635A" w:rsidP="0050635A">
      <w:pPr>
        <w:rPr>
          <w:rFonts w:eastAsia="Times New Roman" w:cs="Times New Roman"/>
          <w:szCs w:val="20"/>
          <w:lang w:val="en-US"/>
        </w:rPr>
      </w:pPr>
      <w:r w:rsidRPr="0050635A">
        <w:t xml:space="preserve">Because </w:t>
      </w:r>
      <w:r>
        <w:t>the value for T</w:t>
      </w:r>
      <w:r w:rsidRPr="0065336D">
        <w:rPr>
          <w:vertAlign w:val="subscript"/>
        </w:rPr>
        <w:t>LBCA</w:t>
      </w:r>
      <w:r>
        <w:t xml:space="preserve"> is non-zero, this delay needs to be taken into account in the SCell activation delay. For example, when the SCell to be activated is known, the first step of SCell activation after receiving and processing the SCell activation command and sending HARQ/RRC response is DL synchronization through the first SSB. The first SSB on the SCell may be sent immediately after </w:t>
      </w:r>
      <w:r w:rsidRPr="0065115C">
        <w:rPr>
          <w:rFonts w:eastAsia="Times New Roman" w:cs="Times New Roman"/>
          <w:szCs w:val="20"/>
          <w:lang w:val="en-US"/>
        </w:rPr>
        <w:t>T</w:t>
      </w:r>
      <w:r w:rsidRPr="0065115C">
        <w:rPr>
          <w:rFonts w:eastAsia="Times New Roman" w:cs="Times New Roman"/>
          <w:szCs w:val="20"/>
          <w:vertAlign w:val="subscript"/>
          <w:lang w:val="en-US"/>
        </w:rPr>
        <w:t>HARQ</w:t>
      </w:r>
      <w:r w:rsidRPr="0065115C">
        <w:rPr>
          <w:rFonts w:eastAsia="Times New Roman" w:cs="Times New Roman"/>
          <w:szCs w:val="20"/>
          <w:lang w:val="en-US"/>
        </w:rPr>
        <w:t>+3ms</w:t>
      </w:r>
      <w:r>
        <w:rPr>
          <w:rFonts w:eastAsia="Times New Roman" w:cs="Times New Roman"/>
          <w:szCs w:val="20"/>
          <w:lang w:val="en-US"/>
        </w:rPr>
        <w:t xml:space="preserve"> or it may be sent later, depending on when the SCell activation command is sent in relation to the SSB. If the SSB is sent on the SCell during T</w:t>
      </w:r>
      <w:r w:rsidRPr="00C15847">
        <w:rPr>
          <w:rFonts w:eastAsia="Times New Roman" w:cs="Times New Roman"/>
          <w:szCs w:val="20"/>
          <w:vertAlign w:val="subscript"/>
          <w:lang w:val="en-US"/>
        </w:rPr>
        <w:t>LBCA</w:t>
      </w:r>
      <w:r>
        <w:rPr>
          <w:rFonts w:eastAsia="Times New Roman" w:cs="Times New Roman"/>
          <w:szCs w:val="20"/>
          <w:lang w:val="en-US"/>
        </w:rPr>
        <w:t xml:space="preserve"> i.e. before the pattern is activated, not including T</w:t>
      </w:r>
      <w:r w:rsidRPr="00EB7772">
        <w:rPr>
          <w:rFonts w:eastAsia="Times New Roman" w:cs="Times New Roman"/>
          <w:szCs w:val="20"/>
          <w:vertAlign w:val="subscript"/>
          <w:lang w:val="en-US"/>
        </w:rPr>
        <w:t>LBCA</w:t>
      </w:r>
      <w:r>
        <w:rPr>
          <w:rFonts w:eastAsia="Times New Roman" w:cs="Times New Roman"/>
          <w:szCs w:val="20"/>
          <w:lang w:val="en-US"/>
        </w:rPr>
        <w:t xml:space="preserve"> in the SCell activation delay or the definition of </w:t>
      </w:r>
      <w:r w:rsidRPr="00CA01AF">
        <w:rPr>
          <w:rFonts w:eastAsia="Times New Roman" w:cs="Times New Roman"/>
          <w:szCs w:val="20"/>
          <w:lang w:val="en-US"/>
        </w:rPr>
        <w:t>T</w:t>
      </w:r>
      <w:r w:rsidRPr="00EB7772">
        <w:rPr>
          <w:rFonts w:eastAsia="Times New Roman" w:cs="Times New Roman"/>
          <w:szCs w:val="20"/>
          <w:vertAlign w:val="subscript"/>
          <w:lang w:val="en-US"/>
        </w:rPr>
        <w:t>firstSSB</w:t>
      </w:r>
      <w:r>
        <w:rPr>
          <w:rFonts w:eastAsia="Times New Roman" w:cs="Times New Roman"/>
          <w:szCs w:val="20"/>
          <w:lang w:val="en-US"/>
        </w:rPr>
        <w:t xml:space="preserve"> would mean that the UE would need to receive the SSB on the SCell before the switching pattern is activated. This would lead to an interruption on PCell and for the need for RAN4 to define a related requirement. </w:t>
      </w:r>
    </w:p>
    <w:p w14:paraId="6B2EF1A7" w14:textId="3A39AB28" w:rsidR="0050635A" w:rsidRDefault="0050635A" w:rsidP="0050635A">
      <w:pPr>
        <w:rPr>
          <w:rFonts w:eastAsia="Times New Roman" w:cs="Times New Roman"/>
          <w:szCs w:val="20"/>
          <w:lang w:val="en-US"/>
        </w:rPr>
      </w:pPr>
      <w:r>
        <w:rPr>
          <w:rFonts w:eastAsia="Times New Roman" w:cs="Times New Roman"/>
          <w:szCs w:val="20"/>
          <w:lang w:val="en-US"/>
        </w:rPr>
        <w:t>Therefore, we think it is clearer to assume that the UE can receive the first SSB or perform any measurements related to unknown SCell activation when the pattern is already activated. Therefore, T</w:t>
      </w:r>
      <w:r w:rsidRPr="008C61F5">
        <w:rPr>
          <w:rFonts w:eastAsia="Times New Roman" w:cs="Times New Roman"/>
          <w:szCs w:val="20"/>
          <w:vertAlign w:val="subscript"/>
          <w:lang w:val="en-US"/>
        </w:rPr>
        <w:t>LBCA</w:t>
      </w:r>
      <w:r>
        <w:rPr>
          <w:rFonts w:eastAsia="Times New Roman" w:cs="Times New Roman"/>
          <w:szCs w:val="20"/>
          <w:lang w:val="en-US"/>
        </w:rPr>
        <w:t xml:space="preserve"> parameter should be added in the SCell activation delay and any measurements related to activation (</w:t>
      </w:r>
      <w:r>
        <w:t>T</w:t>
      </w:r>
      <w:r w:rsidRPr="007E0606">
        <w:rPr>
          <w:vertAlign w:val="subscript"/>
        </w:rPr>
        <w:t>activation</w:t>
      </w:r>
      <w:r>
        <w:rPr>
          <w:vertAlign w:val="subscript"/>
        </w:rPr>
        <w:t>_time</w:t>
      </w:r>
      <w:r>
        <w:rPr>
          <w:rFonts w:eastAsia="Times New Roman" w:cs="Times New Roman"/>
          <w:szCs w:val="20"/>
          <w:lang w:val="en-US"/>
        </w:rPr>
        <w:t>) would happen only after the switching pattern is activated.</w:t>
      </w:r>
      <w:r w:rsidR="00755BBA">
        <w:rPr>
          <w:rFonts w:eastAsia="Times New Roman" w:cs="Times New Roman"/>
          <w:szCs w:val="20"/>
          <w:lang w:val="en-US"/>
        </w:rPr>
        <w:t xml:space="preserve"> </w:t>
      </w:r>
      <w:r w:rsidR="00D0420B">
        <w:rPr>
          <w:rFonts w:eastAsia="Times New Roman" w:cs="Times New Roman"/>
          <w:szCs w:val="20"/>
          <w:lang w:val="en-US"/>
        </w:rPr>
        <w:t xml:space="preserve">Consequently, </w:t>
      </w:r>
      <w:r w:rsidR="003E15EE">
        <w:rPr>
          <w:rFonts w:eastAsia="Times New Roman" w:cs="Times New Roman"/>
          <w:szCs w:val="20"/>
          <w:lang w:val="en-US"/>
        </w:rPr>
        <w:t xml:space="preserve">with the same justification, </w:t>
      </w:r>
      <w:r w:rsidR="00D0420B">
        <w:rPr>
          <w:rFonts w:eastAsia="Times New Roman" w:cs="Times New Roman"/>
          <w:szCs w:val="20"/>
          <w:lang w:val="en-US"/>
        </w:rPr>
        <w:t xml:space="preserve">we support the above tentative agreement from the </w:t>
      </w:r>
      <w:r w:rsidR="003E15EE">
        <w:rPr>
          <w:rFonts w:eastAsia="Times New Roman" w:cs="Times New Roman"/>
          <w:szCs w:val="20"/>
          <w:lang w:val="en-US"/>
        </w:rPr>
        <w:t>last</w:t>
      </w:r>
      <w:r w:rsidR="00D0420B">
        <w:rPr>
          <w:rFonts w:eastAsia="Times New Roman" w:cs="Times New Roman"/>
          <w:szCs w:val="20"/>
          <w:lang w:val="en-US"/>
        </w:rPr>
        <w:t xml:space="preserve"> meeting.</w:t>
      </w:r>
    </w:p>
    <w:p w14:paraId="3B575332" w14:textId="15B19E77" w:rsidR="00C72689" w:rsidRDefault="00DC0EC6" w:rsidP="00C72689">
      <w:pPr>
        <w:pStyle w:val="RAN4proposal"/>
      </w:pPr>
      <w:bookmarkStart w:id="4" w:name="_Toc213434270"/>
      <w:r>
        <w:t>Add</w:t>
      </w:r>
      <w:r w:rsidR="0050635A">
        <w:t xml:space="preserve"> T</w:t>
      </w:r>
      <w:r w:rsidR="0050635A" w:rsidRPr="00110061">
        <w:rPr>
          <w:vertAlign w:val="subscript"/>
        </w:rPr>
        <w:t>LBCA</w:t>
      </w:r>
      <w:r w:rsidR="0050635A">
        <w:t xml:space="preserve"> component in SCell activation delay before T</w:t>
      </w:r>
      <w:r w:rsidR="0050635A" w:rsidRPr="00110061">
        <w:rPr>
          <w:vertAlign w:val="subscript"/>
        </w:rPr>
        <w:t>activation_time</w:t>
      </w:r>
      <w:r w:rsidR="0050635A">
        <w:t>.</w:t>
      </w:r>
      <w:bookmarkEnd w:id="4"/>
    </w:p>
    <w:p w14:paraId="59BB90FD" w14:textId="77777777" w:rsidR="009E0598" w:rsidRPr="00AA0A6B" w:rsidRDefault="009E0598" w:rsidP="009E0598">
      <w:pPr>
        <w:pStyle w:val="RAN4proposal"/>
        <w:rPr>
          <w:rFonts w:eastAsia="Times New Roman"/>
        </w:rPr>
      </w:pPr>
      <w:bookmarkStart w:id="5" w:name="_Toc213434271"/>
      <w:r w:rsidRPr="00AA0A6B">
        <w:lastRenderedPageBreak/>
        <w:t>Agree the tentative agreement:</w:t>
      </w:r>
      <w:bookmarkEnd w:id="5"/>
      <w:r w:rsidRPr="00AA0A6B">
        <w:t xml:space="preserve"> </w:t>
      </w:r>
    </w:p>
    <w:p w14:paraId="18B646D8" w14:textId="1FDF6F3F" w:rsidR="009E0598" w:rsidRPr="00AA0A6B" w:rsidRDefault="009E0598" w:rsidP="00AA0A6B">
      <w:pPr>
        <w:pStyle w:val="RAN4proposal"/>
        <w:numPr>
          <w:ilvl w:val="1"/>
          <w:numId w:val="3"/>
        </w:numPr>
        <w:rPr>
          <w:rFonts w:eastAsia="Times New Roman"/>
        </w:rPr>
      </w:pPr>
      <w:bookmarkStart w:id="6" w:name="_Toc213434272"/>
      <w:r w:rsidRPr="00AA0A6B">
        <w:t>For MAC CE based SCell activation procedure, if the SCell activation command is received at slot n, the UE shall switch to the SCell on the first slot that belongs to the SCell as per the switching pattern, occurring after the slot at: n+(T</w:t>
      </w:r>
      <w:r w:rsidRPr="00AA0A6B">
        <w:rPr>
          <w:vertAlign w:val="subscript"/>
        </w:rPr>
        <w:t>HARQ</w:t>
      </w:r>
      <w:r w:rsidRPr="00AA0A6B">
        <w:t>+3ms+T</w:t>
      </w:r>
      <w:r w:rsidRPr="00AA0A6B">
        <w:rPr>
          <w:vertAlign w:val="subscript"/>
        </w:rPr>
        <w:t>LBCA</w:t>
      </w:r>
      <w:r w:rsidRPr="00AA0A6B">
        <w:t>)/slot-length.</w:t>
      </w:r>
      <w:r w:rsidRPr="00AA0A6B">
        <w:rPr>
          <w:bCs/>
        </w:rPr>
        <w:t xml:space="preserve"> Switching is placed at the end of the slot.</w:t>
      </w:r>
      <w:bookmarkEnd w:id="6"/>
    </w:p>
    <w:p w14:paraId="47E12708" w14:textId="58E9D1B3" w:rsidR="009E0598" w:rsidRPr="009E0598" w:rsidRDefault="009E0598" w:rsidP="00AA0A6B">
      <w:pPr>
        <w:pStyle w:val="RAN4proposal"/>
        <w:numPr>
          <w:ilvl w:val="1"/>
          <w:numId w:val="3"/>
        </w:numPr>
      </w:pPr>
      <w:bookmarkStart w:id="7" w:name="_Toc213434273"/>
      <w:r w:rsidRPr="00AA0A6B">
        <w:t>For RRC based direct SCell activation procedure, if the SCell activation command is received at slot n, the UE shall switch to the SCell on the first slot that belongs to the SCell as per the switching pattern, occurring after the slot at: n+(T</w:t>
      </w:r>
      <w:r w:rsidRPr="00AA0A6B">
        <w:rPr>
          <w:vertAlign w:val="subscript"/>
        </w:rPr>
        <w:t>RRC_Process</w:t>
      </w:r>
      <w:r w:rsidRPr="00AA0A6B">
        <w:t xml:space="preserve"> +T</w:t>
      </w:r>
      <w:r w:rsidRPr="00AA0A6B">
        <w:rPr>
          <w:vertAlign w:val="subscript"/>
        </w:rPr>
        <w:t>LBCA</w:t>
      </w:r>
      <w:r w:rsidRPr="00AA0A6B">
        <w:t>)/slot-length.</w:t>
      </w:r>
      <w:r w:rsidRPr="00AA0A6B">
        <w:rPr>
          <w:bCs/>
        </w:rPr>
        <w:t xml:space="preserve"> Switching is placed at the end of the slot.</w:t>
      </w:r>
      <w:bookmarkEnd w:id="7"/>
    </w:p>
    <w:p w14:paraId="7F67A317" w14:textId="5B6AA933" w:rsidR="001574EC" w:rsidRPr="001574EC" w:rsidRDefault="001574EC" w:rsidP="001574EC">
      <w:pPr>
        <w:rPr>
          <w:lang w:val="en-US"/>
        </w:rPr>
      </w:pPr>
    </w:p>
    <w:p w14:paraId="7906CCAC" w14:textId="036CF36D" w:rsidR="00E75F38" w:rsidRDefault="00E75F38" w:rsidP="004805C5">
      <w:pPr>
        <w:pStyle w:val="RAN4H2"/>
      </w:pPr>
      <w:r w:rsidRPr="00E75F38">
        <w:t>Impact of C-DRX on LBCA RRM Requirements</w:t>
      </w:r>
    </w:p>
    <w:p w14:paraId="798D1166" w14:textId="108DBAB6" w:rsidR="001C761A" w:rsidRPr="00CE65CC" w:rsidRDefault="00D004B9" w:rsidP="001C761A">
      <w:r w:rsidRPr="00CE65CC">
        <w:t xml:space="preserve">RAN4 introduced </w:t>
      </w:r>
      <w:r w:rsidR="0047667F" w:rsidRPr="00CE65CC">
        <w:t>LBCA specific measurement delay requirements where the impact of</w:t>
      </w:r>
      <w:r w:rsidRPr="00CE65CC">
        <w:t xml:space="preserve"> LBCA switching pattern </w:t>
      </w:r>
      <w:r w:rsidR="00832879">
        <w:t xml:space="preserve">is taken </w:t>
      </w:r>
      <w:r w:rsidRPr="00CE65CC">
        <w:t>into account in PCell and SCell measurement requirements</w:t>
      </w:r>
      <w:r w:rsidR="0047667F" w:rsidRPr="00CE65CC">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4D48E6" w:rsidRPr="00CE65CC" w14:paraId="30857A15" w14:textId="77777777" w:rsidTr="003D50F5">
        <w:tc>
          <w:tcPr>
            <w:tcW w:w="9617" w:type="dxa"/>
          </w:tcPr>
          <w:p w14:paraId="7C11BBE5" w14:textId="77777777" w:rsidR="00574CB6" w:rsidRPr="00CE65CC" w:rsidRDefault="00574CB6" w:rsidP="00574CB6">
            <w:pPr>
              <w:rPr>
                <w:lang w:val="en-US"/>
              </w:rPr>
            </w:pPr>
            <w:r w:rsidRPr="00CE65CC">
              <w:rPr>
                <w:b/>
                <w:bCs/>
                <w:u w:val="single"/>
                <w:lang w:val="en-US"/>
              </w:rPr>
              <w:t xml:space="preserve">Issue 1-3-1:  Requirement design of activated SDL SCell L3 measurement </w:t>
            </w:r>
          </w:p>
          <w:p w14:paraId="4F62286B" w14:textId="77777777" w:rsidR="00574CB6" w:rsidRPr="00CE65CC" w:rsidRDefault="00574CB6" w:rsidP="00574CB6">
            <w:pPr>
              <w:rPr>
                <w:lang w:val="en-US"/>
              </w:rPr>
            </w:pPr>
            <w:r w:rsidRPr="00CE65CC">
              <w:rPr>
                <w:lang w:val="en-US"/>
              </w:rPr>
              <w:t> </w:t>
            </w:r>
          </w:p>
          <w:p w14:paraId="03B55DD4" w14:textId="77777777" w:rsidR="00574CB6" w:rsidRPr="00CE65CC" w:rsidRDefault="00574CB6" w:rsidP="00574CB6">
            <w:pPr>
              <w:rPr>
                <w:lang w:val="en-US"/>
              </w:rPr>
            </w:pPr>
            <w:r w:rsidRPr="00CE65CC">
              <w:rPr>
                <w:lang w:val="en-US"/>
              </w:rPr>
              <w:t>Agreement in online session:</w:t>
            </w:r>
          </w:p>
          <w:p w14:paraId="5FDD3008" w14:textId="77777777" w:rsidR="00574CB6" w:rsidRPr="00CE65CC" w:rsidRDefault="00574CB6" w:rsidP="00574CB6">
            <w:pPr>
              <w:numPr>
                <w:ilvl w:val="0"/>
                <w:numId w:val="17"/>
              </w:numPr>
              <w:rPr>
                <w:lang w:val="en-US"/>
              </w:rPr>
            </w:pPr>
            <w:r w:rsidRPr="00CE65CC">
              <w:rPr>
                <w:lang w:val="en-US"/>
              </w:rPr>
              <w:t>if the activated SCC measurement is MG-based in LB-CA, the legacy intra-frequency identification/measurement requirement with MG can be applied.</w:t>
            </w:r>
          </w:p>
          <w:p w14:paraId="43888E94" w14:textId="77777777" w:rsidR="00574CB6" w:rsidRPr="00CE65CC" w:rsidRDefault="00574CB6" w:rsidP="00574CB6">
            <w:pPr>
              <w:numPr>
                <w:ilvl w:val="0"/>
                <w:numId w:val="17"/>
              </w:numPr>
              <w:rPr>
                <w:lang w:val="en-US"/>
              </w:rPr>
            </w:pPr>
            <w:r w:rsidRPr="00CE65CC">
              <w:rPr>
                <w:lang w:val="en-US"/>
              </w:rPr>
              <w:t xml:space="preserve">reuse the existing measurement requirements with gap for inter-frequency measurement and inter-RAT measurement in LB-CA. </w:t>
            </w:r>
          </w:p>
          <w:p w14:paraId="68D29E47" w14:textId="77777777" w:rsidR="00574CB6" w:rsidRPr="00CE65CC" w:rsidRDefault="00574CB6" w:rsidP="00574CB6">
            <w:pPr>
              <w:numPr>
                <w:ilvl w:val="0"/>
                <w:numId w:val="17"/>
              </w:numPr>
              <w:rPr>
                <w:lang w:val="en-US"/>
              </w:rPr>
            </w:pPr>
            <w:r w:rsidRPr="00CE65CC">
              <w:rPr>
                <w:lang w:val="en-US"/>
              </w:rPr>
              <w:t>Not consider the scenario and not define the requirement for measurement without gap for inter-frequency measurement and inter-RAT measurement in LB-CA.</w:t>
            </w:r>
          </w:p>
          <w:p w14:paraId="730EF3D0" w14:textId="77777777" w:rsidR="00574CB6" w:rsidRPr="00CE65CC" w:rsidRDefault="00574CB6" w:rsidP="00574CB6">
            <w:pPr>
              <w:rPr>
                <w:lang w:val="en-US"/>
              </w:rPr>
            </w:pPr>
            <w:r w:rsidRPr="00CE65CC">
              <w:rPr>
                <w:lang w:val="en-US"/>
              </w:rPr>
              <w:t xml:space="preserve">Agreement in online session: </w:t>
            </w:r>
          </w:p>
          <w:p w14:paraId="1FAC7397" w14:textId="77777777" w:rsidR="00574CB6" w:rsidRPr="00CE65CC" w:rsidRDefault="00574CB6" w:rsidP="00574CB6">
            <w:pPr>
              <w:rPr>
                <w:lang w:val="en-US"/>
              </w:rPr>
            </w:pPr>
            <w:r w:rsidRPr="00CE65CC">
              <w:rPr>
                <w:lang w:val="en-US"/>
              </w:rPr>
              <w:t>agree on the following approach, and further update on the wording is not precluded. Further discuss on the CR drafting.</w:t>
            </w:r>
          </w:p>
          <w:p w14:paraId="35DB399A" w14:textId="77777777" w:rsidR="00574CB6" w:rsidRPr="00CE65CC" w:rsidRDefault="00574CB6" w:rsidP="00574CB6">
            <w:pPr>
              <w:numPr>
                <w:ilvl w:val="0"/>
                <w:numId w:val="18"/>
              </w:numPr>
              <w:rPr>
                <w:lang w:val="en-US"/>
              </w:rPr>
            </w:pPr>
            <w:r w:rsidRPr="00CE65CC">
              <w:rPr>
                <w:lang w:val="en-US"/>
              </w:rPr>
              <w:t xml:space="preserve">if the activated SCC measurement is MG-less in LB-CA, Kp factor can be updated for activated SCC identification/measurement requirement (intra-frequency measurement without MG) for LB-CA. </w:t>
            </w:r>
          </w:p>
          <w:p w14:paraId="363DA94E" w14:textId="77777777" w:rsidR="00574CB6" w:rsidRPr="00CE65CC" w:rsidRDefault="00574CB6" w:rsidP="00574CB6">
            <w:pPr>
              <w:numPr>
                <w:ilvl w:val="0"/>
                <w:numId w:val="18"/>
              </w:numPr>
              <w:rPr>
                <w:lang w:val="en-US"/>
              </w:rPr>
            </w:pPr>
            <w:r w:rsidRPr="00CE65CC">
              <w:rPr>
                <w:lang w:val="en-US"/>
              </w:rPr>
              <w:t>Kp factor for MG-less activated SCC identification/measurement requirement in LB-CA can be updated as following:</w:t>
            </w:r>
          </w:p>
          <w:p w14:paraId="7694DF70" w14:textId="77777777" w:rsidR="00574CB6" w:rsidRPr="00CE65CC" w:rsidRDefault="00574CB6" w:rsidP="00574CB6">
            <w:pPr>
              <w:numPr>
                <w:ilvl w:val="1"/>
                <w:numId w:val="18"/>
              </w:numPr>
              <w:rPr>
                <w:lang w:val="en-US"/>
              </w:rPr>
            </w:pPr>
            <w:r w:rsidRPr="00CE65CC">
              <w:rPr>
                <w:lang w:val="en-US"/>
              </w:rPr>
              <w:t>Kp = Ntotal / Navailable, where Navailable and Ntotal are calculated as follows:</w:t>
            </w:r>
          </w:p>
          <w:p w14:paraId="484CBE2E" w14:textId="77777777" w:rsidR="00574CB6" w:rsidRPr="00CE65CC" w:rsidRDefault="00574CB6" w:rsidP="00574CB6">
            <w:pPr>
              <w:numPr>
                <w:ilvl w:val="2"/>
                <w:numId w:val="18"/>
              </w:numPr>
              <w:rPr>
                <w:lang w:val="en-US"/>
              </w:rPr>
            </w:pPr>
            <w:r w:rsidRPr="00CE65CC">
              <w:rPr>
                <w:lang w:val="en-US"/>
              </w:rPr>
              <w:t xml:space="preserve">For a </w:t>
            </w:r>
            <w:r w:rsidRPr="00CE65CC">
              <w:rPr>
                <w:b/>
                <w:bCs/>
                <w:lang w:val="en-US"/>
              </w:rPr>
              <w:t>window W of duration max(SMTC period,  xRP_max, switch pattern periodicity),</w:t>
            </w:r>
            <w:r w:rsidRPr="00CE65CC">
              <w:rPr>
                <w:lang w:val="en-US"/>
              </w:rPr>
              <w:t xml:space="preserve"> where xRP_max is the maximum xRP across all configured per-UE GAPs, periodic MUSIM gaps, and/or per-FR GAPs within the same FR as the SSB frequency layer,</w:t>
            </w:r>
            <w:r w:rsidRPr="00CE65CC">
              <w:rPr>
                <w:b/>
                <w:bCs/>
                <w:lang w:val="en-US"/>
              </w:rPr>
              <w:t xml:space="preserve"> and switch pattern periodicity is the periodicity of the NW configured switch pattern for LB CA via switching,</w:t>
            </w:r>
            <w:r w:rsidRPr="00CE65CC">
              <w:rPr>
                <w:lang w:val="en-US"/>
              </w:rPr>
              <w:t xml:space="preserve"> and starting from the beginning of any SMTC occasion:</w:t>
            </w:r>
          </w:p>
          <w:p w14:paraId="4328B32B" w14:textId="77777777" w:rsidR="00574CB6" w:rsidRPr="00CE65CC" w:rsidRDefault="00574CB6" w:rsidP="00574CB6">
            <w:pPr>
              <w:numPr>
                <w:ilvl w:val="3"/>
                <w:numId w:val="18"/>
              </w:numPr>
              <w:rPr>
                <w:lang w:val="en-US"/>
              </w:rPr>
            </w:pPr>
            <w:r w:rsidRPr="00CE65CC">
              <w:rPr>
                <w:lang w:val="en-US"/>
              </w:rPr>
              <w:t>N</w:t>
            </w:r>
            <w:r w:rsidRPr="00CE65CC">
              <w:rPr>
                <w:vertAlign w:val="subscript"/>
                <w:lang w:val="en-US"/>
              </w:rPr>
              <w:t>total</w:t>
            </w:r>
            <w:r w:rsidRPr="00CE65CC">
              <w:rPr>
                <w:lang w:val="en-US"/>
              </w:rPr>
              <w:t xml:space="preserve"> is the total number of SMTC occasions within the window, including those overlapped with MG </w:t>
            </w:r>
            <w:r w:rsidRPr="00CE65CC">
              <w:rPr>
                <w:b/>
                <w:bCs/>
                <w:lang w:val="en-US"/>
              </w:rPr>
              <w:t xml:space="preserve">and those overlapped with FDD PCC duration based on the switching pattern </w:t>
            </w:r>
            <w:r w:rsidRPr="00CE65CC">
              <w:rPr>
                <w:lang w:val="en-US"/>
              </w:rPr>
              <w:t>within the window, and</w:t>
            </w:r>
          </w:p>
          <w:p w14:paraId="0B6E44E7" w14:textId="77777777" w:rsidR="00574CB6" w:rsidRPr="00CE65CC" w:rsidRDefault="00574CB6" w:rsidP="00574CB6">
            <w:pPr>
              <w:numPr>
                <w:ilvl w:val="3"/>
                <w:numId w:val="18"/>
              </w:numPr>
              <w:rPr>
                <w:lang w:val="en-US"/>
              </w:rPr>
            </w:pPr>
            <w:r w:rsidRPr="00CE65CC">
              <w:rPr>
                <w:lang w:val="en-US"/>
              </w:rPr>
              <w:t>N</w:t>
            </w:r>
            <w:r w:rsidRPr="00CE65CC">
              <w:rPr>
                <w:vertAlign w:val="subscript"/>
                <w:lang w:val="en-US"/>
              </w:rPr>
              <w:t>available</w:t>
            </w:r>
            <w:r w:rsidRPr="00CE65CC">
              <w:rPr>
                <w:lang w:val="en-US"/>
              </w:rPr>
              <w:t xml:space="preserve"> is the number of SMTC occasions that are not overlapped with any non-dropped GAP or non-dropped MUSIM gap occasions and </w:t>
            </w:r>
            <w:r w:rsidRPr="00CE65CC">
              <w:rPr>
                <w:b/>
                <w:bCs/>
                <w:lang w:val="en-US"/>
              </w:rPr>
              <w:t xml:space="preserve">not overlapped with FDD PCC duration based on the switching pattern </w:t>
            </w:r>
            <w:r w:rsidRPr="00CE65CC">
              <w:rPr>
                <w:lang w:val="en-US"/>
              </w:rPr>
              <w:t>within the window W.</w:t>
            </w:r>
          </w:p>
          <w:p w14:paraId="205601F3" w14:textId="77777777" w:rsidR="00574CB6" w:rsidRPr="00CE65CC" w:rsidRDefault="00574CB6" w:rsidP="00574CB6">
            <w:pPr>
              <w:numPr>
                <w:ilvl w:val="3"/>
                <w:numId w:val="18"/>
              </w:numPr>
              <w:rPr>
                <w:lang w:val="en-US"/>
              </w:rPr>
            </w:pPr>
            <w:r w:rsidRPr="00CE65CC">
              <w:rPr>
                <w:lang w:val="en-US"/>
              </w:rPr>
              <w:t>No requirement when N</w:t>
            </w:r>
            <w:r w:rsidRPr="00CE65CC">
              <w:rPr>
                <w:vertAlign w:val="subscript"/>
                <w:lang w:val="en-US"/>
              </w:rPr>
              <w:t>available</w:t>
            </w:r>
            <w:r w:rsidRPr="00CE65CC">
              <w:rPr>
                <w:lang w:val="en-US"/>
              </w:rPr>
              <w:t xml:space="preserve"> = 0.</w:t>
            </w:r>
          </w:p>
          <w:p w14:paraId="129D1D9B" w14:textId="77777777" w:rsidR="00574CB6" w:rsidRPr="00CE65CC" w:rsidRDefault="00574CB6" w:rsidP="001C761A"/>
        </w:tc>
      </w:tr>
    </w:tbl>
    <w:p w14:paraId="6A158412" w14:textId="77777777" w:rsidR="001C761A" w:rsidRPr="00CE65CC" w:rsidRDefault="001C761A" w:rsidP="001C761A"/>
    <w:p w14:paraId="6222B40C" w14:textId="6F700B6F" w:rsidR="00734558" w:rsidRPr="00CE65CC" w:rsidRDefault="00AD4CB1" w:rsidP="001C761A">
      <w:r w:rsidRPr="00CE65CC">
        <w:t xml:space="preserve">Regarding DRX, RAN4 never discussed </w:t>
      </w:r>
      <w:r w:rsidR="00253B3A" w:rsidRPr="00CE65CC">
        <w:t xml:space="preserve">how </w:t>
      </w:r>
      <w:r w:rsidRPr="00CE65CC">
        <w:t xml:space="preserve">the switching pattern is applied. </w:t>
      </w:r>
      <w:r w:rsidR="00734558" w:rsidRPr="00CE65CC">
        <w:t>The agreement that was made about the Kp factor is general and applies to both non-DRX and DRX measurement delay</w:t>
      </w:r>
      <w:r w:rsidRPr="00CE65CC">
        <w:t xml:space="preserve">, meaning that even when UE is in DRX and not scheduled, the UE is expected to follow the </w:t>
      </w:r>
      <w:r w:rsidR="000C412C" w:rsidRPr="00CE65CC">
        <w:t xml:space="preserve">switching </w:t>
      </w:r>
      <w:r w:rsidRPr="00CE65CC">
        <w:t>pattern</w:t>
      </w:r>
      <w:r w:rsidR="00253B3A" w:rsidRPr="00CE65CC">
        <w:t xml:space="preserve"> for measurements</w:t>
      </w:r>
      <w:r w:rsidR="00D84927" w:rsidRPr="00CE65CC">
        <w:t>. It is logical to assume that the pattern is active when the UE is being scheduled</w:t>
      </w:r>
      <w:r w:rsidR="005708C8" w:rsidRPr="00CE65CC">
        <w:t>, but we think the pattern does not need to be followed for measurements during DRX.</w:t>
      </w:r>
    </w:p>
    <w:p w14:paraId="7450EF0B" w14:textId="007E2844" w:rsidR="00ED5C78" w:rsidRPr="00CE65CC" w:rsidRDefault="00ED5C78" w:rsidP="001C761A">
      <w:r w:rsidRPr="00CE65CC">
        <w:t xml:space="preserve">It is defined in the measurement requirements that while the UE is being scheduled, non-DRX requirements apply. Hence, this would directly lead to UE following non-DRX requirements where the pattern is taken into account. </w:t>
      </w:r>
      <w:r w:rsidRPr="00CE65CC">
        <w:lastRenderedPageBreak/>
        <w:t xml:space="preserve">However, when </w:t>
      </w:r>
      <w:r w:rsidR="00E521CA" w:rsidRPr="00CE65CC">
        <w:t>UE is in DRX and not scheduled</w:t>
      </w:r>
      <w:r w:rsidRPr="00CE65CC">
        <w:t>, we think there is no need to take the pattern into account in the measurement delay</w:t>
      </w:r>
      <w:r w:rsidR="000C412C" w:rsidRPr="00CE65CC">
        <w:t>.</w:t>
      </w:r>
    </w:p>
    <w:p w14:paraId="55549D58" w14:textId="2581932E" w:rsidR="00593BF3" w:rsidRDefault="00AF3235" w:rsidP="00593BF3">
      <w:pPr>
        <w:pStyle w:val="RAN4proposal"/>
      </w:pPr>
      <w:bookmarkStart w:id="8" w:name="_Toc213434274"/>
      <w:r w:rsidRPr="00CE65CC">
        <w:t>Switching pattern is not applied when UE is in DRX.</w:t>
      </w:r>
      <w:bookmarkEnd w:id="8"/>
    </w:p>
    <w:p w14:paraId="0E2087DC" w14:textId="3D5FA317" w:rsidR="00F84053" w:rsidRPr="00F84053" w:rsidRDefault="00F84053" w:rsidP="00F84053">
      <w:pPr>
        <w:pStyle w:val="RAN4proposal"/>
        <w:numPr>
          <w:ilvl w:val="1"/>
          <w:numId w:val="3"/>
        </w:numPr>
      </w:pPr>
      <w:bookmarkStart w:id="9" w:name="_Toc213434275"/>
      <w:r>
        <w:t>R</w:t>
      </w:r>
      <w:r w:rsidRPr="00CE65CC">
        <w:t>emove the impact of switching pattern for Kp factor for measurements during DRX.</w:t>
      </w:r>
      <w:bookmarkEnd w:id="9"/>
    </w:p>
    <w:p w14:paraId="24D4714A" w14:textId="5C7FEB1F" w:rsidR="00AF3235" w:rsidRPr="00CE65CC" w:rsidRDefault="00AF3235" w:rsidP="00AF3235">
      <w:pPr>
        <w:pStyle w:val="RAN4proposal"/>
      </w:pPr>
      <w:bookmarkStart w:id="10" w:name="_Toc213434276"/>
      <w:r w:rsidRPr="00CE65CC">
        <w:t xml:space="preserve">If Proposal </w:t>
      </w:r>
      <w:r w:rsidR="007A1B8A">
        <w:t>3</w:t>
      </w:r>
      <w:r w:rsidRPr="00CE65CC">
        <w:t xml:space="preserve"> is agreeable, </w:t>
      </w:r>
      <w:r w:rsidR="00F84053">
        <w:t>inform RAN1 about the agreement in an LS</w:t>
      </w:r>
      <w:bookmarkEnd w:id="10"/>
    </w:p>
    <w:p w14:paraId="4563BB36" w14:textId="77777777" w:rsidR="00E75F38" w:rsidRDefault="00E75F38" w:rsidP="00E75F38"/>
    <w:p w14:paraId="0E7E48D0" w14:textId="1A7693C9" w:rsidR="00942BE2" w:rsidRDefault="00942BE2" w:rsidP="00942BE2">
      <w:pPr>
        <w:pStyle w:val="RAN4H2"/>
      </w:pPr>
      <w:r>
        <w:t>UL TCI state activation</w:t>
      </w:r>
    </w:p>
    <w:p w14:paraId="53BCABD5" w14:textId="5B3BD637" w:rsidR="00942BE2" w:rsidRDefault="00942BE2" w:rsidP="00942BE2">
      <w:r>
        <w:t>RAN4 introduced the impact of LBCA switching to DL TCI state switching delay requirements. Tfirst-SSB definition was updated so that the SSB that is overlapping with SCell active period is taken into account.</w:t>
      </w:r>
      <w:r w:rsidR="00C83145">
        <w:t xml:space="preserve"> RAN4 also defined PL-RS switching requirements with LBCA switching, where the PL-RS that are overlapping with PCell active periods are taken into account.</w:t>
      </w:r>
    </w:p>
    <w:p w14:paraId="0B4FD571" w14:textId="20968CA2" w:rsidR="00C83145" w:rsidRDefault="00C83145" w:rsidP="00942BE2">
      <w:r>
        <w:t xml:space="preserve">However, RAN4 has not defined requirements for UL TCI state activation/switching for PCell, when switching pattern is activated. Here, if the PL-RS of the target TCI state is not maintained, PL-RS estimation is part of the </w:t>
      </w:r>
      <w:r w:rsidR="00FF5A15">
        <w:t xml:space="preserve">TCI state switching delay, and it will clearly be impacted if LBCA switching pattern is activated. Therefore, for completeness of the requirements, we have proposed in our CR </w:t>
      </w:r>
      <w:r w:rsidR="00353DDD" w:rsidRPr="00353DDD">
        <w:t>R4-2520470</w:t>
      </w:r>
      <w:r w:rsidR="00FF5A15">
        <w:t xml:space="preserve"> how to capture these requirements.</w:t>
      </w:r>
    </w:p>
    <w:p w14:paraId="2AF12BF7" w14:textId="6E35E907" w:rsidR="00FD1920" w:rsidRDefault="00FD1920" w:rsidP="00FD1920">
      <w:pPr>
        <w:pStyle w:val="RAN4observation0"/>
      </w:pPr>
      <w:bookmarkStart w:id="11" w:name="_Toc213434277"/>
      <w:r>
        <w:t>RAN4 has not defined UL TCI state switching delay requirements for PCell with LBCA switching.</w:t>
      </w:r>
      <w:bookmarkEnd w:id="11"/>
    </w:p>
    <w:p w14:paraId="79ADA68F" w14:textId="1FD48A23" w:rsidR="00FF5A15" w:rsidRPr="00942BE2" w:rsidRDefault="00FD1920" w:rsidP="00FF5A15">
      <w:pPr>
        <w:pStyle w:val="RAN4proposal"/>
      </w:pPr>
      <w:bookmarkStart w:id="12" w:name="_Toc213434278"/>
      <w:r>
        <w:t xml:space="preserve">Introduce UL TCI state switching delay requirements for PCell by taking the </w:t>
      </w:r>
      <w:r w:rsidR="00356CB1">
        <w:t>LBCA switching pattern impact into account in PL-RS estimation delay.</w:t>
      </w:r>
      <w:bookmarkEnd w:id="12"/>
    </w:p>
    <w:p w14:paraId="1B02B071" w14:textId="77777777" w:rsidR="00613A06" w:rsidRPr="00613A06" w:rsidRDefault="00613A06" w:rsidP="00613A06"/>
    <w:p w14:paraId="5757AA7B" w14:textId="77777777" w:rsidR="00381F95" w:rsidRPr="008F786B" w:rsidRDefault="00CD7492" w:rsidP="00936159">
      <w:pPr>
        <w:pStyle w:val="RAN4H1"/>
      </w:pPr>
      <w:bookmarkStart w:id="13" w:name="_Toc116995848"/>
      <w:r w:rsidRPr="008F786B">
        <w:t>Conclusion</w:t>
      </w:r>
      <w:bookmarkEnd w:id="13"/>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DE796C7" w14:textId="77777777" w:rsidR="007A1B8A" w:rsidRPr="007A1B8A" w:rsidRDefault="007A1B8A" w:rsidP="007A1B8A">
      <w:pPr>
        <w:ind w:right="-22"/>
        <w:rPr>
          <w:b/>
          <w:bCs/>
        </w:rPr>
      </w:pPr>
      <w:r w:rsidRPr="007A1B8A">
        <w:rPr>
          <w:b/>
          <w:bCs/>
        </w:rPr>
        <w:t>Proposal 1: Add TLBCA component in SCell activation delay before Tactivation_time.</w:t>
      </w:r>
    </w:p>
    <w:p w14:paraId="389047E1" w14:textId="77777777" w:rsidR="007A1B8A" w:rsidRPr="007A1B8A" w:rsidRDefault="007A1B8A" w:rsidP="007A1B8A">
      <w:pPr>
        <w:ind w:right="-22"/>
        <w:rPr>
          <w:b/>
          <w:bCs/>
        </w:rPr>
      </w:pPr>
      <w:r w:rsidRPr="007A1B8A">
        <w:rPr>
          <w:b/>
          <w:bCs/>
        </w:rPr>
        <w:t>Proposal 2: Agree the tentative agreement:</w:t>
      </w:r>
    </w:p>
    <w:p w14:paraId="122258AF" w14:textId="61DF3C99" w:rsidR="007A1B8A" w:rsidRPr="007A1B8A" w:rsidRDefault="007A1B8A" w:rsidP="007A1B8A">
      <w:pPr>
        <w:pStyle w:val="ListParagraph"/>
        <w:numPr>
          <w:ilvl w:val="1"/>
          <w:numId w:val="36"/>
        </w:numPr>
        <w:ind w:right="-22"/>
        <w:rPr>
          <w:b/>
          <w:bCs/>
        </w:rPr>
      </w:pPr>
      <w:r w:rsidRPr="007A1B8A">
        <w:rPr>
          <w:b/>
          <w:bCs/>
        </w:rPr>
        <w:t>For MAC CE based SCell activation procedure, if the SCell activation command is received at slot n, the UE shall switch to the SCell on the first slot that belongs to the SCell as per the switching pattern, occurring after the slot at: n+(T</w:t>
      </w:r>
      <w:r w:rsidRPr="007A1B8A">
        <w:rPr>
          <w:b/>
          <w:bCs/>
          <w:vertAlign w:val="subscript"/>
        </w:rPr>
        <w:t>HARQ</w:t>
      </w:r>
      <w:r w:rsidRPr="007A1B8A">
        <w:rPr>
          <w:b/>
          <w:bCs/>
        </w:rPr>
        <w:t>+3ms+T</w:t>
      </w:r>
      <w:r w:rsidRPr="007A1B8A">
        <w:rPr>
          <w:b/>
          <w:bCs/>
          <w:vertAlign w:val="subscript"/>
        </w:rPr>
        <w:t>LBCA</w:t>
      </w:r>
      <w:r w:rsidRPr="007A1B8A">
        <w:rPr>
          <w:b/>
          <w:bCs/>
        </w:rPr>
        <w:t>)/slot-length. Switching is placed at the end of the slot.</w:t>
      </w:r>
    </w:p>
    <w:p w14:paraId="4AB0F229" w14:textId="7138F81A" w:rsidR="007A1B8A" w:rsidRPr="007A1B8A" w:rsidRDefault="007A1B8A" w:rsidP="007A1B8A">
      <w:pPr>
        <w:pStyle w:val="ListParagraph"/>
        <w:numPr>
          <w:ilvl w:val="1"/>
          <w:numId w:val="36"/>
        </w:numPr>
        <w:ind w:right="-22"/>
        <w:rPr>
          <w:b/>
          <w:bCs/>
        </w:rPr>
      </w:pPr>
      <w:r w:rsidRPr="007A1B8A">
        <w:rPr>
          <w:b/>
          <w:bCs/>
        </w:rPr>
        <w:t>For RRC based direct SCell activation procedure, if the SCell activation command is received at slot n, the UE shall switch to the SCell on the first slot that belongs to the SCell as per the switching pattern, occurring after the slot at: n+(T</w:t>
      </w:r>
      <w:r w:rsidRPr="007A1B8A">
        <w:rPr>
          <w:b/>
          <w:bCs/>
          <w:vertAlign w:val="subscript"/>
        </w:rPr>
        <w:t>RRC_Process</w:t>
      </w:r>
      <w:r w:rsidRPr="007A1B8A">
        <w:rPr>
          <w:b/>
          <w:bCs/>
        </w:rPr>
        <w:t xml:space="preserve"> +T</w:t>
      </w:r>
      <w:r w:rsidRPr="007A1B8A">
        <w:rPr>
          <w:b/>
          <w:bCs/>
          <w:vertAlign w:val="subscript"/>
        </w:rPr>
        <w:t>LBCA</w:t>
      </w:r>
      <w:r w:rsidRPr="007A1B8A">
        <w:rPr>
          <w:b/>
          <w:bCs/>
        </w:rPr>
        <w:t>)/slot-length. Switching is placed at the end of the slot.</w:t>
      </w:r>
    </w:p>
    <w:p w14:paraId="0146FEC4" w14:textId="77777777" w:rsidR="007A1B8A" w:rsidRPr="007A1B8A" w:rsidRDefault="007A1B8A" w:rsidP="007A1B8A">
      <w:pPr>
        <w:ind w:right="-22"/>
        <w:rPr>
          <w:b/>
          <w:bCs/>
        </w:rPr>
      </w:pPr>
      <w:r w:rsidRPr="007A1B8A">
        <w:rPr>
          <w:b/>
          <w:bCs/>
        </w:rPr>
        <w:t>Proposal 3: Switching pattern is not applied when UE is in DRX.</w:t>
      </w:r>
    </w:p>
    <w:p w14:paraId="1BA85FF3" w14:textId="0B842AA7" w:rsidR="007A1B8A" w:rsidRPr="007A1B8A" w:rsidRDefault="007A1B8A" w:rsidP="007A1B8A">
      <w:pPr>
        <w:pStyle w:val="ListParagraph"/>
        <w:numPr>
          <w:ilvl w:val="0"/>
          <w:numId w:val="37"/>
        </w:numPr>
        <w:ind w:right="-22"/>
        <w:rPr>
          <w:b/>
          <w:bCs/>
        </w:rPr>
      </w:pPr>
      <w:r w:rsidRPr="007A1B8A">
        <w:rPr>
          <w:b/>
          <w:bCs/>
        </w:rPr>
        <w:t>Remove the impact of switching pattern for Kp factor for measurements during DRX.</w:t>
      </w:r>
    </w:p>
    <w:p w14:paraId="2575B057" w14:textId="7347CE2B" w:rsidR="007A1B8A" w:rsidRPr="007A1B8A" w:rsidRDefault="007A1B8A" w:rsidP="007A1B8A">
      <w:pPr>
        <w:ind w:right="-22"/>
        <w:rPr>
          <w:b/>
          <w:bCs/>
        </w:rPr>
      </w:pPr>
      <w:r w:rsidRPr="007A1B8A">
        <w:rPr>
          <w:b/>
          <w:bCs/>
        </w:rPr>
        <w:t xml:space="preserve">Proposal 4: If Proposal </w:t>
      </w:r>
      <w:r>
        <w:rPr>
          <w:b/>
          <w:bCs/>
        </w:rPr>
        <w:t>3</w:t>
      </w:r>
      <w:r w:rsidRPr="007A1B8A">
        <w:rPr>
          <w:b/>
          <w:bCs/>
        </w:rPr>
        <w:t xml:space="preserve"> is agreeable, inform RAN1 about the agreement in an LS</w:t>
      </w:r>
    </w:p>
    <w:p w14:paraId="2EFACE63" w14:textId="77777777" w:rsidR="007A1B8A" w:rsidRDefault="007A1B8A" w:rsidP="007A1B8A">
      <w:pPr>
        <w:ind w:right="-22"/>
      </w:pPr>
      <w:r>
        <w:t>Observation 1: RAN4 has not defined UL TCI state switching delay requirements for PCell with LBCA switching.</w:t>
      </w:r>
    </w:p>
    <w:p w14:paraId="3A68D42C" w14:textId="66CC86D0" w:rsidR="00E43BF9" w:rsidRPr="007A1B8A" w:rsidRDefault="007A1B8A" w:rsidP="007A1B8A">
      <w:pPr>
        <w:ind w:right="-22"/>
        <w:rPr>
          <w:b/>
          <w:bCs/>
        </w:rPr>
      </w:pPr>
      <w:r w:rsidRPr="007A1B8A">
        <w:rPr>
          <w:b/>
          <w:bCs/>
        </w:rPr>
        <w:t>Proposal 5: Introduce UL TCI state switching delay requirements for PCell by taking the LBCA switching pattern impact into account in PL-RS estimation delay.</w:t>
      </w:r>
    </w:p>
    <w:sectPr w:rsidR="00E43BF9" w:rsidRPr="007A1B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F1726" w14:textId="77777777" w:rsidR="00781C0F" w:rsidRDefault="00781C0F" w:rsidP="00001C9B">
      <w:pPr>
        <w:spacing w:after="0" w:line="240" w:lineRule="auto"/>
      </w:pPr>
      <w:r>
        <w:separator/>
      </w:r>
    </w:p>
  </w:endnote>
  <w:endnote w:type="continuationSeparator" w:id="0">
    <w:p w14:paraId="596A27FC" w14:textId="77777777" w:rsidR="00781C0F" w:rsidRDefault="00781C0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1E436" w14:textId="77777777" w:rsidR="00781C0F" w:rsidRDefault="00781C0F" w:rsidP="00001C9B">
      <w:pPr>
        <w:spacing w:after="0" w:line="240" w:lineRule="auto"/>
      </w:pPr>
      <w:r>
        <w:separator/>
      </w:r>
    </w:p>
  </w:footnote>
  <w:footnote w:type="continuationSeparator" w:id="0">
    <w:p w14:paraId="7F302D63" w14:textId="77777777" w:rsidR="00781C0F" w:rsidRDefault="00781C0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755"/>
    <w:multiLevelType w:val="multilevel"/>
    <w:tmpl w:val="72468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435B7"/>
    <w:multiLevelType w:val="hybridMultilevel"/>
    <w:tmpl w:val="FDA65B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E1B60"/>
    <w:multiLevelType w:val="hybridMultilevel"/>
    <w:tmpl w:val="04F48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914176"/>
    <w:multiLevelType w:val="multilevel"/>
    <w:tmpl w:val="123A9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E70EBD"/>
    <w:multiLevelType w:val="multilevel"/>
    <w:tmpl w:val="2CA86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87438E"/>
    <w:multiLevelType w:val="multilevel"/>
    <w:tmpl w:val="BF746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738CE"/>
    <w:multiLevelType w:val="multilevel"/>
    <w:tmpl w:val="0270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50B8B"/>
    <w:multiLevelType w:val="multilevel"/>
    <w:tmpl w:val="FBCA1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C236D3"/>
    <w:multiLevelType w:val="multilevel"/>
    <w:tmpl w:val="061C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4062C"/>
    <w:multiLevelType w:val="multilevel"/>
    <w:tmpl w:val="F31C4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382E57"/>
    <w:multiLevelType w:val="multilevel"/>
    <w:tmpl w:val="1972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7575A"/>
    <w:multiLevelType w:val="multilevel"/>
    <w:tmpl w:val="AD7C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350104"/>
    <w:multiLevelType w:val="multilevel"/>
    <w:tmpl w:val="368E34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B52A2B"/>
    <w:multiLevelType w:val="multilevel"/>
    <w:tmpl w:val="DE32D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1D56CE"/>
    <w:multiLevelType w:val="multilevel"/>
    <w:tmpl w:val="CD5A7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015308"/>
    <w:multiLevelType w:val="hybridMultilevel"/>
    <w:tmpl w:val="5F2209B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377978"/>
    <w:multiLevelType w:val="multilevel"/>
    <w:tmpl w:val="A0BE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BC3480"/>
    <w:multiLevelType w:val="multilevel"/>
    <w:tmpl w:val="C30A0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761472"/>
    <w:multiLevelType w:val="hybridMultilevel"/>
    <w:tmpl w:val="792899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866073"/>
    <w:multiLevelType w:val="multilevel"/>
    <w:tmpl w:val="A9F82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C54B9C"/>
    <w:multiLevelType w:val="hybridMultilevel"/>
    <w:tmpl w:val="53C0542C"/>
    <w:lvl w:ilvl="0" w:tplc="84726786">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4C2057"/>
    <w:multiLevelType w:val="multilevel"/>
    <w:tmpl w:val="E8B4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9E3832"/>
    <w:multiLevelType w:val="hybridMultilevel"/>
    <w:tmpl w:val="EE12CBE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AA16EF"/>
    <w:multiLevelType w:val="multilevel"/>
    <w:tmpl w:val="0C4AF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BC776E"/>
    <w:multiLevelType w:val="multilevel"/>
    <w:tmpl w:val="F3968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F55CCE"/>
    <w:multiLevelType w:val="multilevel"/>
    <w:tmpl w:val="1D386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DD3F9F"/>
    <w:multiLevelType w:val="multilevel"/>
    <w:tmpl w:val="F384D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43255B"/>
    <w:multiLevelType w:val="multilevel"/>
    <w:tmpl w:val="7542F4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3A36CC"/>
    <w:multiLevelType w:val="multilevel"/>
    <w:tmpl w:val="D39E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9E57B2"/>
    <w:multiLevelType w:val="multilevel"/>
    <w:tmpl w:val="2844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144B9D"/>
    <w:multiLevelType w:val="multilevel"/>
    <w:tmpl w:val="00FE9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22"/>
  </w:num>
  <w:num w:numId="2" w16cid:durableId="80681869">
    <w:abstractNumId w:val="18"/>
  </w:num>
  <w:num w:numId="3" w16cid:durableId="1566528953">
    <w:abstractNumId w:val="21"/>
  </w:num>
  <w:num w:numId="4" w16cid:durableId="1456096507">
    <w:abstractNumId w:val="29"/>
  </w:num>
  <w:num w:numId="5" w16cid:durableId="143009612">
    <w:abstractNumId w:val="0"/>
  </w:num>
  <w:num w:numId="6" w16cid:durableId="137961980">
    <w:abstractNumId w:val="26"/>
  </w:num>
  <w:num w:numId="7" w16cid:durableId="631979451">
    <w:abstractNumId w:val="15"/>
  </w:num>
  <w:num w:numId="8" w16cid:durableId="465247555">
    <w:abstractNumId w:val="35"/>
  </w:num>
  <w:num w:numId="9" w16cid:durableId="2042899669">
    <w:abstractNumId w:val="4"/>
  </w:num>
  <w:num w:numId="10" w16cid:durableId="2033190024">
    <w:abstractNumId w:val="14"/>
  </w:num>
  <w:num w:numId="11" w16cid:durableId="159778360">
    <w:abstractNumId w:val="5"/>
  </w:num>
  <w:num w:numId="12" w16cid:durableId="2086760340">
    <w:abstractNumId w:val="13"/>
  </w:num>
  <w:num w:numId="13" w16cid:durableId="294872843">
    <w:abstractNumId w:val="23"/>
  </w:num>
  <w:num w:numId="14" w16cid:durableId="1650282041">
    <w:abstractNumId w:val="32"/>
  </w:num>
  <w:num w:numId="15" w16cid:durableId="431123594">
    <w:abstractNumId w:val="2"/>
  </w:num>
  <w:num w:numId="16" w16cid:durableId="479882922">
    <w:abstractNumId w:val="24"/>
  </w:num>
  <w:num w:numId="17" w16cid:durableId="1319647780">
    <w:abstractNumId w:val="11"/>
  </w:num>
  <w:num w:numId="18" w16cid:durableId="1884095111">
    <w:abstractNumId w:val="10"/>
  </w:num>
  <w:num w:numId="19" w16cid:durableId="1189835671">
    <w:abstractNumId w:val="20"/>
  </w:num>
  <w:num w:numId="20" w16cid:durableId="360397192">
    <w:abstractNumId w:val="8"/>
  </w:num>
  <w:num w:numId="21" w16cid:durableId="493499134">
    <w:abstractNumId w:val="1"/>
  </w:num>
  <w:num w:numId="22" w16cid:durableId="1418163811">
    <w:abstractNumId w:val="31"/>
  </w:num>
  <w:num w:numId="23" w16cid:durableId="1777795988">
    <w:abstractNumId w:val="25"/>
  </w:num>
  <w:num w:numId="24" w16cid:durableId="537203424">
    <w:abstractNumId w:val="30"/>
  </w:num>
  <w:num w:numId="25" w16cid:durableId="1564869042">
    <w:abstractNumId w:val="36"/>
  </w:num>
  <w:num w:numId="26" w16cid:durableId="465859543">
    <w:abstractNumId w:val="17"/>
  </w:num>
  <w:num w:numId="27" w16cid:durableId="390080475">
    <w:abstractNumId w:val="28"/>
  </w:num>
  <w:num w:numId="28" w16cid:durableId="678312185">
    <w:abstractNumId w:val="12"/>
  </w:num>
  <w:num w:numId="29" w16cid:durableId="182523000">
    <w:abstractNumId w:val="33"/>
  </w:num>
  <w:num w:numId="30" w16cid:durableId="2090150692">
    <w:abstractNumId w:val="34"/>
  </w:num>
  <w:num w:numId="31" w16cid:durableId="1250962925">
    <w:abstractNumId w:val="19"/>
  </w:num>
  <w:num w:numId="32" w16cid:durableId="32506686">
    <w:abstractNumId w:val="9"/>
  </w:num>
  <w:num w:numId="33" w16cid:durableId="2092119353">
    <w:abstractNumId w:val="6"/>
  </w:num>
  <w:num w:numId="34" w16cid:durableId="1447507999">
    <w:abstractNumId w:val="7"/>
  </w:num>
  <w:num w:numId="35" w16cid:durableId="2070301961">
    <w:abstractNumId w:val="27"/>
  </w:num>
  <w:num w:numId="36" w16cid:durableId="306782239">
    <w:abstractNumId w:val="3"/>
  </w:num>
  <w:num w:numId="37" w16cid:durableId="106792495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0345"/>
    <w:rsid w:val="00001C5E"/>
    <w:rsid w:val="00001C9B"/>
    <w:rsid w:val="00002076"/>
    <w:rsid w:val="000040DC"/>
    <w:rsid w:val="0000728A"/>
    <w:rsid w:val="000079EA"/>
    <w:rsid w:val="00010595"/>
    <w:rsid w:val="00011784"/>
    <w:rsid w:val="00011BE6"/>
    <w:rsid w:val="000151EF"/>
    <w:rsid w:val="00017ED3"/>
    <w:rsid w:val="00021790"/>
    <w:rsid w:val="000239F5"/>
    <w:rsid w:val="0003704A"/>
    <w:rsid w:val="000451B7"/>
    <w:rsid w:val="00045387"/>
    <w:rsid w:val="00046E50"/>
    <w:rsid w:val="0004733C"/>
    <w:rsid w:val="0005041A"/>
    <w:rsid w:val="00061256"/>
    <w:rsid w:val="00072CCA"/>
    <w:rsid w:val="0007601C"/>
    <w:rsid w:val="00081002"/>
    <w:rsid w:val="00081544"/>
    <w:rsid w:val="00083A77"/>
    <w:rsid w:val="0008612A"/>
    <w:rsid w:val="00087B7D"/>
    <w:rsid w:val="00090E18"/>
    <w:rsid w:val="000A10BC"/>
    <w:rsid w:val="000A5FED"/>
    <w:rsid w:val="000A7F53"/>
    <w:rsid w:val="000B0056"/>
    <w:rsid w:val="000B0B58"/>
    <w:rsid w:val="000B11AA"/>
    <w:rsid w:val="000B1798"/>
    <w:rsid w:val="000B60DF"/>
    <w:rsid w:val="000B709B"/>
    <w:rsid w:val="000C213F"/>
    <w:rsid w:val="000C3C7B"/>
    <w:rsid w:val="000C412C"/>
    <w:rsid w:val="000C4DF6"/>
    <w:rsid w:val="000C5A37"/>
    <w:rsid w:val="000D0F93"/>
    <w:rsid w:val="000D208F"/>
    <w:rsid w:val="000F76C3"/>
    <w:rsid w:val="001000A8"/>
    <w:rsid w:val="00102628"/>
    <w:rsid w:val="00106416"/>
    <w:rsid w:val="00110061"/>
    <w:rsid w:val="00110481"/>
    <w:rsid w:val="00110F3D"/>
    <w:rsid w:val="0011114C"/>
    <w:rsid w:val="00111AF7"/>
    <w:rsid w:val="001127C9"/>
    <w:rsid w:val="00114498"/>
    <w:rsid w:val="0011597D"/>
    <w:rsid w:val="00115B88"/>
    <w:rsid w:val="00125BE6"/>
    <w:rsid w:val="0012684F"/>
    <w:rsid w:val="00132F6A"/>
    <w:rsid w:val="00133913"/>
    <w:rsid w:val="00134AAE"/>
    <w:rsid w:val="00137FCD"/>
    <w:rsid w:val="00140221"/>
    <w:rsid w:val="00142BD5"/>
    <w:rsid w:val="00151F7B"/>
    <w:rsid w:val="00152B8F"/>
    <w:rsid w:val="001574EC"/>
    <w:rsid w:val="00161913"/>
    <w:rsid w:val="001642FC"/>
    <w:rsid w:val="0016496B"/>
    <w:rsid w:val="00172240"/>
    <w:rsid w:val="001743E2"/>
    <w:rsid w:val="001745F8"/>
    <w:rsid w:val="00182C00"/>
    <w:rsid w:val="001838CF"/>
    <w:rsid w:val="00184DD7"/>
    <w:rsid w:val="001868EE"/>
    <w:rsid w:val="00190655"/>
    <w:rsid w:val="0019267A"/>
    <w:rsid w:val="00193F4E"/>
    <w:rsid w:val="00194AEC"/>
    <w:rsid w:val="001A16CD"/>
    <w:rsid w:val="001A3BA4"/>
    <w:rsid w:val="001A490D"/>
    <w:rsid w:val="001A6D1F"/>
    <w:rsid w:val="001B1591"/>
    <w:rsid w:val="001B15D9"/>
    <w:rsid w:val="001B1EA8"/>
    <w:rsid w:val="001B5045"/>
    <w:rsid w:val="001B712E"/>
    <w:rsid w:val="001B75ED"/>
    <w:rsid w:val="001C761A"/>
    <w:rsid w:val="001C767A"/>
    <w:rsid w:val="001C7D1E"/>
    <w:rsid w:val="001D0F13"/>
    <w:rsid w:val="001E30F6"/>
    <w:rsid w:val="001E3FAD"/>
    <w:rsid w:val="001E54CE"/>
    <w:rsid w:val="001F051B"/>
    <w:rsid w:val="001F3F10"/>
    <w:rsid w:val="00216379"/>
    <w:rsid w:val="00217EE5"/>
    <w:rsid w:val="00222CDE"/>
    <w:rsid w:val="002267F8"/>
    <w:rsid w:val="00227CF4"/>
    <w:rsid w:val="00233FF6"/>
    <w:rsid w:val="0023559D"/>
    <w:rsid w:val="00235F5C"/>
    <w:rsid w:val="00236FC2"/>
    <w:rsid w:val="0024235F"/>
    <w:rsid w:val="002433E2"/>
    <w:rsid w:val="00253B3A"/>
    <w:rsid w:val="00257FA3"/>
    <w:rsid w:val="00262259"/>
    <w:rsid w:val="00276C1B"/>
    <w:rsid w:val="00277B56"/>
    <w:rsid w:val="00277EAF"/>
    <w:rsid w:val="00282A74"/>
    <w:rsid w:val="002849D4"/>
    <w:rsid w:val="00284AF6"/>
    <w:rsid w:val="0028665B"/>
    <w:rsid w:val="00295E70"/>
    <w:rsid w:val="002A0A1C"/>
    <w:rsid w:val="002A158A"/>
    <w:rsid w:val="002A19F5"/>
    <w:rsid w:val="002A248C"/>
    <w:rsid w:val="002A6A7A"/>
    <w:rsid w:val="002B013C"/>
    <w:rsid w:val="002B3591"/>
    <w:rsid w:val="002B4922"/>
    <w:rsid w:val="002B69F3"/>
    <w:rsid w:val="002C22C3"/>
    <w:rsid w:val="002C2D19"/>
    <w:rsid w:val="002D10FA"/>
    <w:rsid w:val="002D2248"/>
    <w:rsid w:val="002D4C55"/>
    <w:rsid w:val="002D592D"/>
    <w:rsid w:val="002E405E"/>
    <w:rsid w:val="002E6DED"/>
    <w:rsid w:val="002F08D1"/>
    <w:rsid w:val="002F10BB"/>
    <w:rsid w:val="002F4609"/>
    <w:rsid w:val="00300956"/>
    <w:rsid w:val="003065DF"/>
    <w:rsid w:val="00307EE8"/>
    <w:rsid w:val="00317187"/>
    <w:rsid w:val="003172AE"/>
    <w:rsid w:val="00323F55"/>
    <w:rsid w:val="0032499A"/>
    <w:rsid w:val="00333E0A"/>
    <w:rsid w:val="003341F7"/>
    <w:rsid w:val="00337B3E"/>
    <w:rsid w:val="00340005"/>
    <w:rsid w:val="00347FEC"/>
    <w:rsid w:val="003509DF"/>
    <w:rsid w:val="00352F94"/>
    <w:rsid w:val="00353DDD"/>
    <w:rsid w:val="00354974"/>
    <w:rsid w:val="00354C0D"/>
    <w:rsid w:val="00356CB1"/>
    <w:rsid w:val="00356ED5"/>
    <w:rsid w:val="00356F45"/>
    <w:rsid w:val="00360149"/>
    <w:rsid w:val="00366B74"/>
    <w:rsid w:val="003733A3"/>
    <w:rsid w:val="00376DAD"/>
    <w:rsid w:val="003774C0"/>
    <w:rsid w:val="00377547"/>
    <w:rsid w:val="00381F95"/>
    <w:rsid w:val="00390749"/>
    <w:rsid w:val="003929BA"/>
    <w:rsid w:val="003934A5"/>
    <w:rsid w:val="003A0536"/>
    <w:rsid w:val="003A56A7"/>
    <w:rsid w:val="003A710A"/>
    <w:rsid w:val="003B0849"/>
    <w:rsid w:val="003B1FA8"/>
    <w:rsid w:val="003B398C"/>
    <w:rsid w:val="003B4307"/>
    <w:rsid w:val="003B659E"/>
    <w:rsid w:val="003B71CE"/>
    <w:rsid w:val="003C275E"/>
    <w:rsid w:val="003C4222"/>
    <w:rsid w:val="003C4FDE"/>
    <w:rsid w:val="003D2814"/>
    <w:rsid w:val="003D50F5"/>
    <w:rsid w:val="003E15EE"/>
    <w:rsid w:val="003E58DF"/>
    <w:rsid w:val="003F25B8"/>
    <w:rsid w:val="003F7007"/>
    <w:rsid w:val="00404C4C"/>
    <w:rsid w:val="00407757"/>
    <w:rsid w:val="0041423F"/>
    <w:rsid w:val="00414F81"/>
    <w:rsid w:val="00417339"/>
    <w:rsid w:val="00417707"/>
    <w:rsid w:val="0042073D"/>
    <w:rsid w:val="004215BC"/>
    <w:rsid w:val="0042216E"/>
    <w:rsid w:val="00426B9A"/>
    <w:rsid w:val="00434630"/>
    <w:rsid w:val="00436A0F"/>
    <w:rsid w:val="00437150"/>
    <w:rsid w:val="0043750A"/>
    <w:rsid w:val="00440E84"/>
    <w:rsid w:val="004421DA"/>
    <w:rsid w:val="0044682A"/>
    <w:rsid w:val="00447577"/>
    <w:rsid w:val="0045105F"/>
    <w:rsid w:val="00453447"/>
    <w:rsid w:val="0046441A"/>
    <w:rsid w:val="00466743"/>
    <w:rsid w:val="00471230"/>
    <w:rsid w:val="00472931"/>
    <w:rsid w:val="004732E9"/>
    <w:rsid w:val="00474314"/>
    <w:rsid w:val="0047667F"/>
    <w:rsid w:val="00477E1D"/>
    <w:rsid w:val="004805C5"/>
    <w:rsid w:val="004820BB"/>
    <w:rsid w:val="004854BB"/>
    <w:rsid w:val="00492093"/>
    <w:rsid w:val="00494493"/>
    <w:rsid w:val="00496197"/>
    <w:rsid w:val="00496606"/>
    <w:rsid w:val="004A0E28"/>
    <w:rsid w:val="004A45E2"/>
    <w:rsid w:val="004B55EF"/>
    <w:rsid w:val="004B5F73"/>
    <w:rsid w:val="004B6DE7"/>
    <w:rsid w:val="004C08DB"/>
    <w:rsid w:val="004C29DE"/>
    <w:rsid w:val="004C3561"/>
    <w:rsid w:val="004D1DFB"/>
    <w:rsid w:val="004D48E6"/>
    <w:rsid w:val="004D53DF"/>
    <w:rsid w:val="004E0E1B"/>
    <w:rsid w:val="004E24DB"/>
    <w:rsid w:val="004E31EC"/>
    <w:rsid w:val="004E5E66"/>
    <w:rsid w:val="004E7ADB"/>
    <w:rsid w:val="004E7F03"/>
    <w:rsid w:val="004F1463"/>
    <w:rsid w:val="004F1F3E"/>
    <w:rsid w:val="004F51B0"/>
    <w:rsid w:val="004F5F61"/>
    <w:rsid w:val="00503B4D"/>
    <w:rsid w:val="00503F9E"/>
    <w:rsid w:val="00504EE9"/>
    <w:rsid w:val="0050635A"/>
    <w:rsid w:val="00511EFE"/>
    <w:rsid w:val="005128C6"/>
    <w:rsid w:val="00514E4F"/>
    <w:rsid w:val="0051572F"/>
    <w:rsid w:val="00521576"/>
    <w:rsid w:val="005250E6"/>
    <w:rsid w:val="00526668"/>
    <w:rsid w:val="00527D02"/>
    <w:rsid w:val="00540689"/>
    <w:rsid w:val="00541557"/>
    <w:rsid w:val="00541CE5"/>
    <w:rsid w:val="00542D23"/>
    <w:rsid w:val="0054442C"/>
    <w:rsid w:val="00544D58"/>
    <w:rsid w:val="00550285"/>
    <w:rsid w:val="00554BD2"/>
    <w:rsid w:val="005552E5"/>
    <w:rsid w:val="00562492"/>
    <w:rsid w:val="005624E0"/>
    <w:rsid w:val="00562A2B"/>
    <w:rsid w:val="00564C87"/>
    <w:rsid w:val="005708C8"/>
    <w:rsid w:val="005710E5"/>
    <w:rsid w:val="00572A20"/>
    <w:rsid w:val="00572C91"/>
    <w:rsid w:val="005743CC"/>
    <w:rsid w:val="00574CB6"/>
    <w:rsid w:val="005754D2"/>
    <w:rsid w:val="00581618"/>
    <w:rsid w:val="005836F8"/>
    <w:rsid w:val="00587A2D"/>
    <w:rsid w:val="005918FA"/>
    <w:rsid w:val="00592A86"/>
    <w:rsid w:val="00593BF3"/>
    <w:rsid w:val="005A2696"/>
    <w:rsid w:val="005A39DD"/>
    <w:rsid w:val="005A69F7"/>
    <w:rsid w:val="005A6DCA"/>
    <w:rsid w:val="005A756D"/>
    <w:rsid w:val="005B243A"/>
    <w:rsid w:val="005B2520"/>
    <w:rsid w:val="005B3029"/>
    <w:rsid w:val="005B4801"/>
    <w:rsid w:val="005C1801"/>
    <w:rsid w:val="005C216D"/>
    <w:rsid w:val="005C23A4"/>
    <w:rsid w:val="005C2833"/>
    <w:rsid w:val="005C7EFA"/>
    <w:rsid w:val="005D061B"/>
    <w:rsid w:val="005D1CDF"/>
    <w:rsid w:val="005D2BB7"/>
    <w:rsid w:val="005D63A6"/>
    <w:rsid w:val="005D6FFE"/>
    <w:rsid w:val="005E04D5"/>
    <w:rsid w:val="005E61A8"/>
    <w:rsid w:val="005F3A52"/>
    <w:rsid w:val="005F6419"/>
    <w:rsid w:val="005F6C23"/>
    <w:rsid w:val="006003BE"/>
    <w:rsid w:val="0060301D"/>
    <w:rsid w:val="006051FF"/>
    <w:rsid w:val="0060543D"/>
    <w:rsid w:val="00606E80"/>
    <w:rsid w:val="00607EC7"/>
    <w:rsid w:val="006104DD"/>
    <w:rsid w:val="006130B5"/>
    <w:rsid w:val="00613A06"/>
    <w:rsid w:val="00614DD8"/>
    <w:rsid w:val="00615390"/>
    <w:rsid w:val="00617400"/>
    <w:rsid w:val="00620299"/>
    <w:rsid w:val="0062749D"/>
    <w:rsid w:val="00632D29"/>
    <w:rsid w:val="0064171D"/>
    <w:rsid w:val="00641C5E"/>
    <w:rsid w:val="006428A0"/>
    <w:rsid w:val="00643DB0"/>
    <w:rsid w:val="0065115C"/>
    <w:rsid w:val="0065336D"/>
    <w:rsid w:val="00664950"/>
    <w:rsid w:val="00671580"/>
    <w:rsid w:val="00683220"/>
    <w:rsid w:val="0068781B"/>
    <w:rsid w:val="00687FA0"/>
    <w:rsid w:val="00690F34"/>
    <w:rsid w:val="00696035"/>
    <w:rsid w:val="00696FEB"/>
    <w:rsid w:val="006A20B6"/>
    <w:rsid w:val="006A2919"/>
    <w:rsid w:val="006A36D2"/>
    <w:rsid w:val="006A3C11"/>
    <w:rsid w:val="006A5D58"/>
    <w:rsid w:val="006A7942"/>
    <w:rsid w:val="006B3B60"/>
    <w:rsid w:val="006B3EC0"/>
    <w:rsid w:val="006B551B"/>
    <w:rsid w:val="006B7010"/>
    <w:rsid w:val="006B7131"/>
    <w:rsid w:val="006B7AE5"/>
    <w:rsid w:val="006B7C2F"/>
    <w:rsid w:val="006C3095"/>
    <w:rsid w:val="006C780F"/>
    <w:rsid w:val="006D4BA9"/>
    <w:rsid w:val="006E0390"/>
    <w:rsid w:val="006E1151"/>
    <w:rsid w:val="006E29BE"/>
    <w:rsid w:val="006E6311"/>
    <w:rsid w:val="006F7514"/>
    <w:rsid w:val="00701D91"/>
    <w:rsid w:val="00705A6B"/>
    <w:rsid w:val="007073F4"/>
    <w:rsid w:val="007110C2"/>
    <w:rsid w:val="00713021"/>
    <w:rsid w:val="007145FF"/>
    <w:rsid w:val="007158F6"/>
    <w:rsid w:val="00715B2A"/>
    <w:rsid w:val="00733B21"/>
    <w:rsid w:val="00734558"/>
    <w:rsid w:val="00736EF9"/>
    <w:rsid w:val="007376A9"/>
    <w:rsid w:val="00737F44"/>
    <w:rsid w:val="00741266"/>
    <w:rsid w:val="007450F1"/>
    <w:rsid w:val="007453C7"/>
    <w:rsid w:val="00751515"/>
    <w:rsid w:val="00755BBA"/>
    <w:rsid w:val="00756FDE"/>
    <w:rsid w:val="00757634"/>
    <w:rsid w:val="007626B7"/>
    <w:rsid w:val="00770F28"/>
    <w:rsid w:val="00775086"/>
    <w:rsid w:val="00776EF0"/>
    <w:rsid w:val="007809FA"/>
    <w:rsid w:val="00781C0F"/>
    <w:rsid w:val="0078212B"/>
    <w:rsid w:val="007823D0"/>
    <w:rsid w:val="00784429"/>
    <w:rsid w:val="00784DF6"/>
    <w:rsid w:val="00785232"/>
    <w:rsid w:val="007902CA"/>
    <w:rsid w:val="007A1B8A"/>
    <w:rsid w:val="007A2588"/>
    <w:rsid w:val="007A2A8E"/>
    <w:rsid w:val="007A726F"/>
    <w:rsid w:val="007B186C"/>
    <w:rsid w:val="007B1EF9"/>
    <w:rsid w:val="007B3ED9"/>
    <w:rsid w:val="007B6A8F"/>
    <w:rsid w:val="007C02A1"/>
    <w:rsid w:val="007C067E"/>
    <w:rsid w:val="007C1696"/>
    <w:rsid w:val="007C3ED0"/>
    <w:rsid w:val="007C48C4"/>
    <w:rsid w:val="007C58BC"/>
    <w:rsid w:val="007C5971"/>
    <w:rsid w:val="007C6D2D"/>
    <w:rsid w:val="007C7C32"/>
    <w:rsid w:val="007D2A22"/>
    <w:rsid w:val="007D40C0"/>
    <w:rsid w:val="007E0606"/>
    <w:rsid w:val="007E42DC"/>
    <w:rsid w:val="007E4668"/>
    <w:rsid w:val="007E70BB"/>
    <w:rsid w:val="007F1B31"/>
    <w:rsid w:val="007F54B9"/>
    <w:rsid w:val="00801F0C"/>
    <w:rsid w:val="0080403F"/>
    <w:rsid w:val="00806A76"/>
    <w:rsid w:val="00807394"/>
    <w:rsid w:val="0081025F"/>
    <w:rsid w:val="00811C9D"/>
    <w:rsid w:val="008144A1"/>
    <w:rsid w:val="00816C80"/>
    <w:rsid w:val="008176BA"/>
    <w:rsid w:val="0081797B"/>
    <w:rsid w:val="0082796A"/>
    <w:rsid w:val="00831509"/>
    <w:rsid w:val="00831E9C"/>
    <w:rsid w:val="00832879"/>
    <w:rsid w:val="0083707A"/>
    <w:rsid w:val="00841BCD"/>
    <w:rsid w:val="00847264"/>
    <w:rsid w:val="00851A8E"/>
    <w:rsid w:val="0085365B"/>
    <w:rsid w:val="00855573"/>
    <w:rsid w:val="00866225"/>
    <w:rsid w:val="008668B5"/>
    <w:rsid w:val="008668DA"/>
    <w:rsid w:val="00872E0C"/>
    <w:rsid w:val="00880083"/>
    <w:rsid w:val="0088072F"/>
    <w:rsid w:val="00881AFB"/>
    <w:rsid w:val="008826C1"/>
    <w:rsid w:val="00883DFD"/>
    <w:rsid w:val="00885EBF"/>
    <w:rsid w:val="0088655C"/>
    <w:rsid w:val="0089210C"/>
    <w:rsid w:val="0089230E"/>
    <w:rsid w:val="00893D2E"/>
    <w:rsid w:val="0089430B"/>
    <w:rsid w:val="008A0609"/>
    <w:rsid w:val="008A1BF7"/>
    <w:rsid w:val="008A4F48"/>
    <w:rsid w:val="008A5B0E"/>
    <w:rsid w:val="008B0961"/>
    <w:rsid w:val="008B136E"/>
    <w:rsid w:val="008B37C9"/>
    <w:rsid w:val="008C2362"/>
    <w:rsid w:val="008C39F7"/>
    <w:rsid w:val="008C3C70"/>
    <w:rsid w:val="008C4C41"/>
    <w:rsid w:val="008C61F5"/>
    <w:rsid w:val="008D2DAC"/>
    <w:rsid w:val="008E0B21"/>
    <w:rsid w:val="008E1D7D"/>
    <w:rsid w:val="008E24BD"/>
    <w:rsid w:val="008E3DF5"/>
    <w:rsid w:val="008E66C7"/>
    <w:rsid w:val="008F2AD7"/>
    <w:rsid w:val="008F786B"/>
    <w:rsid w:val="0090091A"/>
    <w:rsid w:val="009018C6"/>
    <w:rsid w:val="0090373B"/>
    <w:rsid w:val="00903F75"/>
    <w:rsid w:val="009042BD"/>
    <w:rsid w:val="00904FE4"/>
    <w:rsid w:val="00914EDF"/>
    <w:rsid w:val="00920CEF"/>
    <w:rsid w:val="00925817"/>
    <w:rsid w:val="00927740"/>
    <w:rsid w:val="00936159"/>
    <w:rsid w:val="00942BE2"/>
    <w:rsid w:val="00952B49"/>
    <w:rsid w:val="009551B4"/>
    <w:rsid w:val="0096049C"/>
    <w:rsid w:val="009628AD"/>
    <w:rsid w:val="009640F0"/>
    <w:rsid w:val="00975B93"/>
    <w:rsid w:val="00977E1D"/>
    <w:rsid w:val="00993EE8"/>
    <w:rsid w:val="00995429"/>
    <w:rsid w:val="00997935"/>
    <w:rsid w:val="00997EE7"/>
    <w:rsid w:val="009A32FE"/>
    <w:rsid w:val="009A3E90"/>
    <w:rsid w:val="009A7297"/>
    <w:rsid w:val="009B0573"/>
    <w:rsid w:val="009B1F9C"/>
    <w:rsid w:val="009B7B4B"/>
    <w:rsid w:val="009B7C21"/>
    <w:rsid w:val="009C061C"/>
    <w:rsid w:val="009C0CC6"/>
    <w:rsid w:val="009D74D3"/>
    <w:rsid w:val="009E025C"/>
    <w:rsid w:val="009E0598"/>
    <w:rsid w:val="009E2A95"/>
    <w:rsid w:val="009E2CCC"/>
    <w:rsid w:val="009E4E6E"/>
    <w:rsid w:val="009E5FA9"/>
    <w:rsid w:val="009F03AA"/>
    <w:rsid w:val="00A019F7"/>
    <w:rsid w:val="00A04992"/>
    <w:rsid w:val="00A1254E"/>
    <w:rsid w:val="00A147AA"/>
    <w:rsid w:val="00A14B57"/>
    <w:rsid w:val="00A1568A"/>
    <w:rsid w:val="00A20A77"/>
    <w:rsid w:val="00A21D71"/>
    <w:rsid w:val="00A22B78"/>
    <w:rsid w:val="00A246F7"/>
    <w:rsid w:val="00A25AE5"/>
    <w:rsid w:val="00A25EDC"/>
    <w:rsid w:val="00A26442"/>
    <w:rsid w:val="00A3548A"/>
    <w:rsid w:val="00A37002"/>
    <w:rsid w:val="00A427F0"/>
    <w:rsid w:val="00A4355E"/>
    <w:rsid w:val="00A44BB4"/>
    <w:rsid w:val="00A520D9"/>
    <w:rsid w:val="00A56F68"/>
    <w:rsid w:val="00A57604"/>
    <w:rsid w:val="00A64DA0"/>
    <w:rsid w:val="00A65C2A"/>
    <w:rsid w:val="00A710A9"/>
    <w:rsid w:val="00A74866"/>
    <w:rsid w:val="00A7535A"/>
    <w:rsid w:val="00A80630"/>
    <w:rsid w:val="00A849D4"/>
    <w:rsid w:val="00A912E6"/>
    <w:rsid w:val="00A92306"/>
    <w:rsid w:val="00A92BCD"/>
    <w:rsid w:val="00A9582D"/>
    <w:rsid w:val="00A95E07"/>
    <w:rsid w:val="00AA0A6B"/>
    <w:rsid w:val="00AA1665"/>
    <w:rsid w:val="00AA1B0E"/>
    <w:rsid w:val="00AA47B6"/>
    <w:rsid w:val="00AB7409"/>
    <w:rsid w:val="00AC06C0"/>
    <w:rsid w:val="00AC0C16"/>
    <w:rsid w:val="00AC163B"/>
    <w:rsid w:val="00AC5CA7"/>
    <w:rsid w:val="00AC5F12"/>
    <w:rsid w:val="00AC6058"/>
    <w:rsid w:val="00AC6CE6"/>
    <w:rsid w:val="00AD3F48"/>
    <w:rsid w:val="00AD4CB1"/>
    <w:rsid w:val="00AE2BA5"/>
    <w:rsid w:val="00AE3A90"/>
    <w:rsid w:val="00AE56B1"/>
    <w:rsid w:val="00AE5ED1"/>
    <w:rsid w:val="00AE6D09"/>
    <w:rsid w:val="00AE6FB4"/>
    <w:rsid w:val="00AF3235"/>
    <w:rsid w:val="00AF7A7C"/>
    <w:rsid w:val="00B02070"/>
    <w:rsid w:val="00B15F6F"/>
    <w:rsid w:val="00B16497"/>
    <w:rsid w:val="00B23294"/>
    <w:rsid w:val="00B258FE"/>
    <w:rsid w:val="00B25F28"/>
    <w:rsid w:val="00B26A8A"/>
    <w:rsid w:val="00B27E7E"/>
    <w:rsid w:val="00B35A04"/>
    <w:rsid w:val="00B3610E"/>
    <w:rsid w:val="00B408B6"/>
    <w:rsid w:val="00B408F6"/>
    <w:rsid w:val="00B40C83"/>
    <w:rsid w:val="00B516DC"/>
    <w:rsid w:val="00B542DA"/>
    <w:rsid w:val="00B55276"/>
    <w:rsid w:val="00B55797"/>
    <w:rsid w:val="00B57CD0"/>
    <w:rsid w:val="00B66B7D"/>
    <w:rsid w:val="00B70C76"/>
    <w:rsid w:val="00B73862"/>
    <w:rsid w:val="00B73F43"/>
    <w:rsid w:val="00B75BBF"/>
    <w:rsid w:val="00B75E15"/>
    <w:rsid w:val="00B801D0"/>
    <w:rsid w:val="00B81CDC"/>
    <w:rsid w:val="00B85F49"/>
    <w:rsid w:val="00B868AB"/>
    <w:rsid w:val="00B87647"/>
    <w:rsid w:val="00B9225A"/>
    <w:rsid w:val="00B936C0"/>
    <w:rsid w:val="00BA308C"/>
    <w:rsid w:val="00BA6B66"/>
    <w:rsid w:val="00BA6CE0"/>
    <w:rsid w:val="00BA6E48"/>
    <w:rsid w:val="00BA7C74"/>
    <w:rsid w:val="00BB19E5"/>
    <w:rsid w:val="00BB3907"/>
    <w:rsid w:val="00BB54CA"/>
    <w:rsid w:val="00BC32F2"/>
    <w:rsid w:val="00BD1174"/>
    <w:rsid w:val="00BD1A8A"/>
    <w:rsid w:val="00BD60AF"/>
    <w:rsid w:val="00BD7AF3"/>
    <w:rsid w:val="00BD7FA5"/>
    <w:rsid w:val="00BE0AF6"/>
    <w:rsid w:val="00BE0E6E"/>
    <w:rsid w:val="00BE0FFE"/>
    <w:rsid w:val="00BE15DA"/>
    <w:rsid w:val="00BE1F03"/>
    <w:rsid w:val="00BE2951"/>
    <w:rsid w:val="00BE39D9"/>
    <w:rsid w:val="00BE4CCE"/>
    <w:rsid w:val="00BE58A7"/>
    <w:rsid w:val="00BF2218"/>
    <w:rsid w:val="00BF7071"/>
    <w:rsid w:val="00C0426B"/>
    <w:rsid w:val="00C045DF"/>
    <w:rsid w:val="00C0517B"/>
    <w:rsid w:val="00C06FBA"/>
    <w:rsid w:val="00C12DE3"/>
    <w:rsid w:val="00C15847"/>
    <w:rsid w:val="00C22D38"/>
    <w:rsid w:val="00C2402C"/>
    <w:rsid w:val="00C24AA2"/>
    <w:rsid w:val="00C2553E"/>
    <w:rsid w:val="00C260B7"/>
    <w:rsid w:val="00C26D43"/>
    <w:rsid w:val="00C32F77"/>
    <w:rsid w:val="00C35173"/>
    <w:rsid w:val="00C356B0"/>
    <w:rsid w:val="00C35C21"/>
    <w:rsid w:val="00C43F4A"/>
    <w:rsid w:val="00C45E9B"/>
    <w:rsid w:val="00C46548"/>
    <w:rsid w:val="00C5283A"/>
    <w:rsid w:val="00C532CE"/>
    <w:rsid w:val="00C53B3A"/>
    <w:rsid w:val="00C5748D"/>
    <w:rsid w:val="00C574D5"/>
    <w:rsid w:val="00C60CD0"/>
    <w:rsid w:val="00C61A02"/>
    <w:rsid w:val="00C61D6B"/>
    <w:rsid w:val="00C65CE1"/>
    <w:rsid w:val="00C67A3C"/>
    <w:rsid w:val="00C72689"/>
    <w:rsid w:val="00C73F32"/>
    <w:rsid w:val="00C819C1"/>
    <w:rsid w:val="00C83145"/>
    <w:rsid w:val="00C838F3"/>
    <w:rsid w:val="00C851E4"/>
    <w:rsid w:val="00C8635C"/>
    <w:rsid w:val="00C87462"/>
    <w:rsid w:val="00C91014"/>
    <w:rsid w:val="00C94FD2"/>
    <w:rsid w:val="00CA01AF"/>
    <w:rsid w:val="00CA180C"/>
    <w:rsid w:val="00CB22B2"/>
    <w:rsid w:val="00CC0D38"/>
    <w:rsid w:val="00CC3EE2"/>
    <w:rsid w:val="00CC5ADB"/>
    <w:rsid w:val="00CD6C0E"/>
    <w:rsid w:val="00CD7492"/>
    <w:rsid w:val="00CE229B"/>
    <w:rsid w:val="00CE3A6B"/>
    <w:rsid w:val="00CE65CC"/>
    <w:rsid w:val="00CE6914"/>
    <w:rsid w:val="00D00211"/>
    <w:rsid w:val="00D004B9"/>
    <w:rsid w:val="00D006D1"/>
    <w:rsid w:val="00D0100E"/>
    <w:rsid w:val="00D025AE"/>
    <w:rsid w:val="00D03109"/>
    <w:rsid w:val="00D0420B"/>
    <w:rsid w:val="00D06309"/>
    <w:rsid w:val="00D138A6"/>
    <w:rsid w:val="00D14270"/>
    <w:rsid w:val="00D256AE"/>
    <w:rsid w:val="00D30170"/>
    <w:rsid w:val="00D34918"/>
    <w:rsid w:val="00D351EA"/>
    <w:rsid w:val="00D40288"/>
    <w:rsid w:val="00D42BC4"/>
    <w:rsid w:val="00D43403"/>
    <w:rsid w:val="00D43FE6"/>
    <w:rsid w:val="00D4655B"/>
    <w:rsid w:val="00D50A6B"/>
    <w:rsid w:val="00D525AA"/>
    <w:rsid w:val="00D5270B"/>
    <w:rsid w:val="00D54047"/>
    <w:rsid w:val="00D54C5E"/>
    <w:rsid w:val="00D60E48"/>
    <w:rsid w:val="00D62E71"/>
    <w:rsid w:val="00D6430D"/>
    <w:rsid w:val="00D66188"/>
    <w:rsid w:val="00D67123"/>
    <w:rsid w:val="00D731F6"/>
    <w:rsid w:val="00D740CA"/>
    <w:rsid w:val="00D7482D"/>
    <w:rsid w:val="00D814D3"/>
    <w:rsid w:val="00D816F8"/>
    <w:rsid w:val="00D83803"/>
    <w:rsid w:val="00D84927"/>
    <w:rsid w:val="00D85728"/>
    <w:rsid w:val="00D85B62"/>
    <w:rsid w:val="00D87410"/>
    <w:rsid w:val="00D92FC6"/>
    <w:rsid w:val="00D95481"/>
    <w:rsid w:val="00D96E40"/>
    <w:rsid w:val="00DA4696"/>
    <w:rsid w:val="00DB4464"/>
    <w:rsid w:val="00DB4F91"/>
    <w:rsid w:val="00DB63FC"/>
    <w:rsid w:val="00DB67E5"/>
    <w:rsid w:val="00DB7718"/>
    <w:rsid w:val="00DC0326"/>
    <w:rsid w:val="00DC0EC6"/>
    <w:rsid w:val="00DC55BA"/>
    <w:rsid w:val="00DC7A13"/>
    <w:rsid w:val="00DD23F9"/>
    <w:rsid w:val="00DD5F97"/>
    <w:rsid w:val="00DE6495"/>
    <w:rsid w:val="00DE7064"/>
    <w:rsid w:val="00DF2997"/>
    <w:rsid w:val="00DF6005"/>
    <w:rsid w:val="00DF6561"/>
    <w:rsid w:val="00DF74B6"/>
    <w:rsid w:val="00E0152B"/>
    <w:rsid w:val="00E10BC4"/>
    <w:rsid w:val="00E1415D"/>
    <w:rsid w:val="00E16B0B"/>
    <w:rsid w:val="00E213BD"/>
    <w:rsid w:val="00E233D3"/>
    <w:rsid w:val="00E23FDE"/>
    <w:rsid w:val="00E258A0"/>
    <w:rsid w:val="00E323E9"/>
    <w:rsid w:val="00E32FB6"/>
    <w:rsid w:val="00E34018"/>
    <w:rsid w:val="00E437D2"/>
    <w:rsid w:val="00E43BF9"/>
    <w:rsid w:val="00E43E4A"/>
    <w:rsid w:val="00E47BC6"/>
    <w:rsid w:val="00E506A2"/>
    <w:rsid w:val="00E51930"/>
    <w:rsid w:val="00E521CA"/>
    <w:rsid w:val="00E54B70"/>
    <w:rsid w:val="00E55751"/>
    <w:rsid w:val="00E5652C"/>
    <w:rsid w:val="00E66DCD"/>
    <w:rsid w:val="00E66E4D"/>
    <w:rsid w:val="00E70689"/>
    <w:rsid w:val="00E708D2"/>
    <w:rsid w:val="00E7253D"/>
    <w:rsid w:val="00E7398E"/>
    <w:rsid w:val="00E75F38"/>
    <w:rsid w:val="00E8202D"/>
    <w:rsid w:val="00E829EB"/>
    <w:rsid w:val="00E82B94"/>
    <w:rsid w:val="00E87217"/>
    <w:rsid w:val="00E9137C"/>
    <w:rsid w:val="00E95AD3"/>
    <w:rsid w:val="00EA2311"/>
    <w:rsid w:val="00EB0C57"/>
    <w:rsid w:val="00EB663B"/>
    <w:rsid w:val="00EB70E6"/>
    <w:rsid w:val="00EB7772"/>
    <w:rsid w:val="00EC0BEB"/>
    <w:rsid w:val="00EC1729"/>
    <w:rsid w:val="00EC7BC3"/>
    <w:rsid w:val="00ED4EB4"/>
    <w:rsid w:val="00ED5C78"/>
    <w:rsid w:val="00ED7600"/>
    <w:rsid w:val="00EF6073"/>
    <w:rsid w:val="00EF698B"/>
    <w:rsid w:val="00F03F05"/>
    <w:rsid w:val="00F0526B"/>
    <w:rsid w:val="00F1362C"/>
    <w:rsid w:val="00F15C87"/>
    <w:rsid w:val="00F30A4D"/>
    <w:rsid w:val="00F3223C"/>
    <w:rsid w:val="00F33EA7"/>
    <w:rsid w:val="00F37281"/>
    <w:rsid w:val="00F379A4"/>
    <w:rsid w:val="00F414F1"/>
    <w:rsid w:val="00F508B8"/>
    <w:rsid w:val="00F547AB"/>
    <w:rsid w:val="00F55B65"/>
    <w:rsid w:val="00F61AD3"/>
    <w:rsid w:val="00F721CE"/>
    <w:rsid w:val="00F72CB1"/>
    <w:rsid w:val="00F81D7B"/>
    <w:rsid w:val="00F8215E"/>
    <w:rsid w:val="00F824F5"/>
    <w:rsid w:val="00F83B29"/>
    <w:rsid w:val="00F84053"/>
    <w:rsid w:val="00F86513"/>
    <w:rsid w:val="00F90FAB"/>
    <w:rsid w:val="00F9374D"/>
    <w:rsid w:val="00FA3C50"/>
    <w:rsid w:val="00FA7FB5"/>
    <w:rsid w:val="00FB08B9"/>
    <w:rsid w:val="00FB3E61"/>
    <w:rsid w:val="00FB446B"/>
    <w:rsid w:val="00FB6924"/>
    <w:rsid w:val="00FC1AC2"/>
    <w:rsid w:val="00FC29B9"/>
    <w:rsid w:val="00FC6FD3"/>
    <w:rsid w:val="00FC7118"/>
    <w:rsid w:val="00FC7596"/>
    <w:rsid w:val="00FD1920"/>
    <w:rsid w:val="00FD1F42"/>
    <w:rsid w:val="00FD2225"/>
    <w:rsid w:val="00FE305C"/>
    <w:rsid w:val="00FF0301"/>
    <w:rsid w:val="00FF1A32"/>
    <w:rsid w:val="00FF49A9"/>
    <w:rsid w:val="00FF565B"/>
    <w:rsid w:val="00FF5A15"/>
    <w:rsid w:val="00FF6036"/>
    <w:rsid w:val="00FF7E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00AAEE89-5EFE-4D27-86D2-4B2B49A56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3GPP Caption Table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A14B57"/>
    <w:rPr>
      <w:color w:val="2B579A"/>
      <w:shd w:val="clear" w:color="auto" w:fill="E1DFDD"/>
    </w:rPr>
  </w:style>
  <w:style w:type="paragraph" w:styleId="NormalWeb">
    <w:name w:val="Normal (Web)"/>
    <w:basedOn w:val="Normal"/>
    <w:uiPriority w:val="99"/>
    <w:semiHidden/>
    <w:unhideWhenUsed/>
    <w:rsid w:val="00FC1AC2"/>
    <w:pPr>
      <w:spacing w:before="100" w:beforeAutospacing="1" w:after="100" w:afterAutospacing="1" w:line="240" w:lineRule="auto"/>
    </w:pPr>
    <w:rPr>
      <w:rFonts w:eastAsia="Times New Roman" w:cs="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uiPriority w:val="35"/>
    <w:rsid w:val="007073F4"/>
    <w:rPr>
      <w:rFonts w:cs="Arial"/>
      <w:iCs/>
      <w:color w:val="44546A" w:themeColor="text2"/>
      <w:kern w:val="0"/>
      <w:sz w:val="22"/>
      <w:szCs w:val="18"/>
      <w14:ligatures w14:val="none"/>
    </w:rPr>
  </w:style>
  <w:style w:type="paragraph" w:styleId="Revision">
    <w:name w:val="Revision"/>
    <w:hidden/>
    <w:uiPriority w:val="99"/>
    <w:semiHidden/>
    <w:rsid w:val="004F1463"/>
    <w:pPr>
      <w:spacing w:after="0" w:line="240" w:lineRule="auto"/>
    </w:pPr>
    <w:rPr>
      <w:rFonts w:ascii="Times New Roman" w:hAnsi="Times New Roman"/>
      <w:sz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C72689"/>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2689"/>
    <w:pPr>
      <w:tabs>
        <w:tab w:val="left" w:pos="720"/>
      </w:tabs>
      <w:overflowPunct w:val="0"/>
      <w:autoSpaceDE w:val="0"/>
      <w:autoSpaceDN w:val="0"/>
      <w:adjustRightInd w:val="0"/>
      <w:spacing w:after="120" w:line="240" w:lineRule="auto"/>
      <w:ind w:hanging="1140"/>
      <w:jc w:val="both"/>
    </w:pPr>
    <w:rPr>
      <w:rFonts w:eastAsia="MS Mincho"/>
      <w:sz w:val="22"/>
      <w:szCs w:val="24"/>
      <w:lang w:val="x-none" w:eastAsia="x-none"/>
    </w:rPr>
  </w:style>
  <w:style w:type="character" w:customStyle="1" w:styleId="BodyTextChar1">
    <w:name w:val="Body Text Char1"/>
    <w:basedOn w:val="DefaultParagraphFont"/>
    <w:uiPriority w:val="99"/>
    <w:semiHidden/>
    <w:rsid w:val="00C72689"/>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8307">
      <w:bodyDiv w:val="1"/>
      <w:marLeft w:val="0"/>
      <w:marRight w:val="0"/>
      <w:marTop w:val="0"/>
      <w:marBottom w:val="0"/>
      <w:divBdr>
        <w:top w:val="none" w:sz="0" w:space="0" w:color="auto"/>
        <w:left w:val="none" w:sz="0" w:space="0" w:color="auto"/>
        <w:bottom w:val="none" w:sz="0" w:space="0" w:color="auto"/>
        <w:right w:val="none" w:sz="0" w:space="0" w:color="auto"/>
      </w:divBdr>
    </w:div>
    <w:div w:id="43717959">
      <w:bodyDiv w:val="1"/>
      <w:marLeft w:val="0"/>
      <w:marRight w:val="0"/>
      <w:marTop w:val="0"/>
      <w:marBottom w:val="0"/>
      <w:divBdr>
        <w:top w:val="none" w:sz="0" w:space="0" w:color="auto"/>
        <w:left w:val="none" w:sz="0" w:space="0" w:color="auto"/>
        <w:bottom w:val="none" w:sz="0" w:space="0" w:color="auto"/>
        <w:right w:val="none" w:sz="0" w:space="0" w:color="auto"/>
      </w:divBdr>
    </w:div>
    <w:div w:id="51538268">
      <w:bodyDiv w:val="1"/>
      <w:marLeft w:val="0"/>
      <w:marRight w:val="0"/>
      <w:marTop w:val="0"/>
      <w:marBottom w:val="0"/>
      <w:divBdr>
        <w:top w:val="none" w:sz="0" w:space="0" w:color="auto"/>
        <w:left w:val="none" w:sz="0" w:space="0" w:color="auto"/>
        <w:bottom w:val="none" w:sz="0" w:space="0" w:color="auto"/>
        <w:right w:val="none" w:sz="0" w:space="0" w:color="auto"/>
      </w:divBdr>
      <w:divsChild>
        <w:div w:id="290942150">
          <w:marLeft w:val="0"/>
          <w:marRight w:val="0"/>
          <w:marTop w:val="0"/>
          <w:marBottom w:val="0"/>
          <w:divBdr>
            <w:top w:val="none" w:sz="0" w:space="0" w:color="auto"/>
            <w:left w:val="none" w:sz="0" w:space="0" w:color="auto"/>
            <w:bottom w:val="none" w:sz="0" w:space="0" w:color="auto"/>
            <w:right w:val="none" w:sz="0" w:space="0" w:color="auto"/>
          </w:divBdr>
        </w:div>
      </w:divsChild>
    </w:div>
    <w:div w:id="7328435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26754216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28756039">
      <w:bodyDiv w:val="1"/>
      <w:marLeft w:val="0"/>
      <w:marRight w:val="0"/>
      <w:marTop w:val="0"/>
      <w:marBottom w:val="0"/>
      <w:divBdr>
        <w:top w:val="none" w:sz="0" w:space="0" w:color="auto"/>
        <w:left w:val="none" w:sz="0" w:space="0" w:color="auto"/>
        <w:bottom w:val="none" w:sz="0" w:space="0" w:color="auto"/>
        <w:right w:val="none" w:sz="0" w:space="0" w:color="auto"/>
      </w:divBdr>
    </w:div>
    <w:div w:id="331183907">
      <w:bodyDiv w:val="1"/>
      <w:marLeft w:val="0"/>
      <w:marRight w:val="0"/>
      <w:marTop w:val="0"/>
      <w:marBottom w:val="0"/>
      <w:divBdr>
        <w:top w:val="none" w:sz="0" w:space="0" w:color="auto"/>
        <w:left w:val="none" w:sz="0" w:space="0" w:color="auto"/>
        <w:bottom w:val="none" w:sz="0" w:space="0" w:color="auto"/>
        <w:right w:val="none" w:sz="0" w:space="0" w:color="auto"/>
      </w:divBdr>
    </w:div>
    <w:div w:id="380986451">
      <w:bodyDiv w:val="1"/>
      <w:marLeft w:val="0"/>
      <w:marRight w:val="0"/>
      <w:marTop w:val="0"/>
      <w:marBottom w:val="0"/>
      <w:divBdr>
        <w:top w:val="none" w:sz="0" w:space="0" w:color="auto"/>
        <w:left w:val="none" w:sz="0" w:space="0" w:color="auto"/>
        <w:bottom w:val="none" w:sz="0" w:space="0" w:color="auto"/>
        <w:right w:val="none" w:sz="0" w:space="0" w:color="auto"/>
      </w:divBdr>
    </w:div>
    <w:div w:id="437333521">
      <w:bodyDiv w:val="1"/>
      <w:marLeft w:val="0"/>
      <w:marRight w:val="0"/>
      <w:marTop w:val="0"/>
      <w:marBottom w:val="0"/>
      <w:divBdr>
        <w:top w:val="none" w:sz="0" w:space="0" w:color="auto"/>
        <w:left w:val="none" w:sz="0" w:space="0" w:color="auto"/>
        <w:bottom w:val="none" w:sz="0" w:space="0" w:color="auto"/>
        <w:right w:val="none" w:sz="0" w:space="0" w:color="auto"/>
      </w:divBdr>
    </w:div>
    <w:div w:id="446117520">
      <w:bodyDiv w:val="1"/>
      <w:marLeft w:val="0"/>
      <w:marRight w:val="0"/>
      <w:marTop w:val="0"/>
      <w:marBottom w:val="0"/>
      <w:divBdr>
        <w:top w:val="none" w:sz="0" w:space="0" w:color="auto"/>
        <w:left w:val="none" w:sz="0" w:space="0" w:color="auto"/>
        <w:bottom w:val="none" w:sz="0" w:space="0" w:color="auto"/>
        <w:right w:val="none" w:sz="0" w:space="0" w:color="auto"/>
      </w:divBdr>
    </w:div>
    <w:div w:id="459542926">
      <w:bodyDiv w:val="1"/>
      <w:marLeft w:val="0"/>
      <w:marRight w:val="0"/>
      <w:marTop w:val="0"/>
      <w:marBottom w:val="0"/>
      <w:divBdr>
        <w:top w:val="none" w:sz="0" w:space="0" w:color="auto"/>
        <w:left w:val="none" w:sz="0" w:space="0" w:color="auto"/>
        <w:bottom w:val="none" w:sz="0" w:space="0" w:color="auto"/>
        <w:right w:val="none" w:sz="0" w:space="0" w:color="auto"/>
      </w:divBdr>
    </w:div>
    <w:div w:id="569771436">
      <w:bodyDiv w:val="1"/>
      <w:marLeft w:val="0"/>
      <w:marRight w:val="0"/>
      <w:marTop w:val="0"/>
      <w:marBottom w:val="0"/>
      <w:divBdr>
        <w:top w:val="none" w:sz="0" w:space="0" w:color="auto"/>
        <w:left w:val="none" w:sz="0" w:space="0" w:color="auto"/>
        <w:bottom w:val="none" w:sz="0" w:space="0" w:color="auto"/>
        <w:right w:val="none" w:sz="0" w:space="0" w:color="auto"/>
      </w:divBdr>
    </w:div>
    <w:div w:id="599026929">
      <w:bodyDiv w:val="1"/>
      <w:marLeft w:val="0"/>
      <w:marRight w:val="0"/>
      <w:marTop w:val="0"/>
      <w:marBottom w:val="0"/>
      <w:divBdr>
        <w:top w:val="none" w:sz="0" w:space="0" w:color="auto"/>
        <w:left w:val="none" w:sz="0" w:space="0" w:color="auto"/>
        <w:bottom w:val="none" w:sz="0" w:space="0" w:color="auto"/>
        <w:right w:val="none" w:sz="0" w:space="0" w:color="auto"/>
      </w:divBdr>
      <w:divsChild>
        <w:div w:id="1780300648">
          <w:marLeft w:val="0"/>
          <w:marRight w:val="0"/>
          <w:marTop w:val="0"/>
          <w:marBottom w:val="0"/>
          <w:divBdr>
            <w:top w:val="none" w:sz="0" w:space="0" w:color="auto"/>
            <w:left w:val="none" w:sz="0" w:space="0" w:color="auto"/>
            <w:bottom w:val="none" w:sz="0" w:space="0" w:color="auto"/>
            <w:right w:val="none" w:sz="0" w:space="0" w:color="auto"/>
          </w:divBdr>
        </w:div>
      </w:divsChild>
    </w:div>
    <w:div w:id="623773691">
      <w:bodyDiv w:val="1"/>
      <w:marLeft w:val="0"/>
      <w:marRight w:val="0"/>
      <w:marTop w:val="0"/>
      <w:marBottom w:val="0"/>
      <w:divBdr>
        <w:top w:val="none" w:sz="0" w:space="0" w:color="auto"/>
        <w:left w:val="none" w:sz="0" w:space="0" w:color="auto"/>
        <w:bottom w:val="none" w:sz="0" w:space="0" w:color="auto"/>
        <w:right w:val="none" w:sz="0" w:space="0" w:color="auto"/>
      </w:divBdr>
    </w:div>
    <w:div w:id="661350695">
      <w:bodyDiv w:val="1"/>
      <w:marLeft w:val="0"/>
      <w:marRight w:val="0"/>
      <w:marTop w:val="0"/>
      <w:marBottom w:val="0"/>
      <w:divBdr>
        <w:top w:val="none" w:sz="0" w:space="0" w:color="auto"/>
        <w:left w:val="none" w:sz="0" w:space="0" w:color="auto"/>
        <w:bottom w:val="none" w:sz="0" w:space="0" w:color="auto"/>
        <w:right w:val="none" w:sz="0" w:space="0" w:color="auto"/>
      </w:divBdr>
    </w:div>
    <w:div w:id="665480901">
      <w:bodyDiv w:val="1"/>
      <w:marLeft w:val="0"/>
      <w:marRight w:val="0"/>
      <w:marTop w:val="0"/>
      <w:marBottom w:val="0"/>
      <w:divBdr>
        <w:top w:val="none" w:sz="0" w:space="0" w:color="auto"/>
        <w:left w:val="none" w:sz="0" w:space="0" w:color="auto"/>
        <w:bottom w:val="none" w:sz="0" w:space="0" w:color="auto"/>
        <w:right w:val="none" w:sz="0" w:space="0" w:color="auto"/>
      </w:divBdr>
    </w:div>
    <w:div w:id="671420859">
      <w:bodyDiv w:val="1"/>
      <w:marLeft w:val="0"/>
      <w:marRight w:val="0"/>
      <w:marTop w:val="0"/>
      <w:marBottom w:val="0"/>
      <w:divBdr>
        <w:top w:val="none" w:sz="0" w:space="0" w:color="auto"/>
        <w:left w:val="none" w:sz="0" w:space="0" w:color="auto"/>
        <w:bottom w:val="none" w:sz="0" w:space="0" w:color="auto"/>
        <w:right w:val="none" w:sz="0" w:space="0" w:color="auto"/>
      </w:divBdr>
    </w:div>
    <w:div w:id="736168368">
      <w:bodyDiv w:val="1"/>
      <w:marLeft w:val="0"/>
      <w:marRight w:val="0"/>
      <w:marTop w:val="0"/>
      <w:marBottom w:val="0"/>
      <w:divBdr>
        <w:top w:val="none" w:sz="0" w:space="0" w:color="auto"/>
        <w:left w:val="none" w:sz="0" w:space="0" w:color="auto"/>
        <w:bottom w:val="none" w:sz="0" w:space="0" w:color="auto"/>
        <w:right w:val="none" w:sz="0" w:space="0" w:color="auto"/>
      </w:divBdr>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812912690">
      <w:bodyDiv w:val="1"/>
      <w:marLeft w:val="0"/>
      <w:marRight w:val="0"/>
      <w:marTop w:val="0"/>
      <w:marBottom w:val="0"/>
      <w:divBdr>
        <w:top w:val="none" w:sz="0" w:space="0" w:color="auto"/>
        <w:left w:val="none" w:sz="0" w:space="0" w:color="auto"/>
        <w:bottom w:val="none" w:sz="0" w:space="0" w:color="auto"/>
        <w:right w:val="none" w:sz="0" w:space="0" w:color="auto"/>
      </w:divBdr>
    </w:div>
    <w:div w:id="822084600">
      <w:bodyDiv w:val="1"/>
      <w:marLeft w:val="0"/>
      <w:marRight w:val="0"/>
      <w:marTop w:val="0"/>
      <w:marBottom w:val="0"/>
      <w:divBdr>
        <w:top w:val="none" w:sz="0" w:space="0" w:color="auto"/>
        <w:left w:val="none" w:sz="0" w:space="0" w:color="auto"/>
        <w:bottom w:val="none" w:sz="0" w:space="0" w:color="auto"/>
        <w:right w:val="none" w:sz="0" w:space="0" w:color="auto"/>
      </w:divBdr>
    </w:div>
    <w:div w:id="873689448">
      <w:bodyDiv w:val="1"/>
      <w:marLeft w:val="0"/>
      <w:marRight w:val="0"/>
      <w:marTop w:val="0"/>
      <w:marBottom w:val="0"/>
      <w:divBdr>
        <w:top w:val="none" w:sz="0" w:space="0" w:color="auto"/>
        <w:left w:val="none" w:sz="0" w:space="0" w:color="auto"/>
        <w:bottom w:val="none" w:sz="0" w:space="0" w:color="auto"/>
        <w:right w:val="none" w:sz="0" w:space="0" w:color="auto"/>
      </w:divBdr>
    </w:div>
    <w:div w:id="900017659">
      <w:bodyDiv w:val="1"/>
      <w:marLeft w:val="0"/>
      <w:marRight w:val="0"/>
      <w:marTop w:val="0"/>
      <w:marBottom w:val="0"/>
      <w:divBdr>
        <w:top w:val="none" w:sz="0" w:space="0" w:color="auto"/>
        <w:left w:val="none" w:sz="0" w:space="0" w:color="auto"/>
        <w:bottom w:val="none" w:sz="0" w:space="0" w:color="auto"/>
        <w:right w:val="none" w:sz="0" w:space="0" w:color="auto"/>
      </w:divBdr>
    </w:div>
    <w:div w:id="948122787">
      <w:bodyDiv w:val="1"/>
      <w:marLeft w:val="0"/>
      <w:marRight w:val="0"/>
      <w:marTop w:val="0"/>
      <w:marBottom w:val="0"/>
      <w:divBdr>
        <w:top w:val="none" w:sz="0" w:space="0" w:color="auto"/>
        <w:left w:val="none" w:sz="0" w:space="0" w:color="auto"/>
        <w:bottom w:val="none" w:sz="0" w:space="0" w:color="auto"/>
        <w:right w:val="none" w:sz="0" w:space="0" w:color="auto"/>
      </w:divBdr>
    </w:div>
    <w:div w:id="967197628">
      <w:bodyDiv w:val="1"/>
      <w:marLeft w:val="0"/>
      <w:marRight w:val="0"/>
      <w:marTop w:val="0"/>
      <w:marBottom w:val="0"/>
      <w:divBdr>
        <w:top w:val="none" w:sz="0" w:space="0" w:color="auto"/>
        <w:left w:val="none" w:sz="0" w:space="0" w:color="auto"/>
        <w:bottom w:val="none" w:sz="0" w:space="0" w:color="auto"/>
        <w:right w:val="none" w:sz="0" w:space="0" w:color="auto"/>
      </w:divBdr>
    </w:div>
    <w:div w:id="1014962894">
      <w:bodyDiv w:val="1"/>
      <w:marLeft w:val="0"/>
      <w:marRight w:val="0"/>
      <w:marTop w:val="0"/>
      <w:marBottom w:val="0"/>
      <w:divBdr>
        <w:top w:val="none" w:sz="0" w:space="0" w:color="auto"/>
        <w:left w:val="none" w:sz="0" w:space="0" w:color="auto"/>
        <w:bottom w:val="none" w:sz="0" w:space="0" w:color="auto"/>
        <w:right w:val="none" w:sz="0" w:space="0" w:color="auto"/>
      </w:divBdr>
    </w:div>
    <w:div w:id="1027605287">
      <w:bodyDiv w:val="1"/>
      <w:marLeft w:val="0"/>
      <w:marRight w:val="0"/>
      <w:marTop w:val="0"/>
      <w:marBottom w:val="0"/>
      <w:divBdr>
        <w:top w:val="none" w:sz="0" w:space="0" w:color="auto"/>
        <w:left w:val="none" w:sz="0" w:space="0" w:color="auto"/>
        <w:bottom w:val="none" w:sz="0" w:space="0" w:color="auto"/>
        <w:right w:val="none" w:sz="0" w:space="0" w:color="auto"/>
      </w:divBdr>
    </w:div>
    <w:div w:id="1151140230">
      <w:bodyDiv w:val="1"/>
      <w:marLeft w:val="0"/>
      <w:marRight w:val="0"/>
      <w:marTop w:val="0"/>
      <w:marBottom w:val="0"/>
      <w:divBdr>
        <w:top w:val="none" w:sz="0" w:space="0" w:color="auto"/>
        <w:left w:val="none" w:sz="0" w:space="0" w:color="auto"/>
        <w:bottom w:val="none" w:sz="0" w:space="0" w:color="auto"/>
        <w:right w:val="none" w:sz="0" w:space="0" w:color="auto"/>
      </w:divBdr>
    </w:div>
    <w:div w:id="1157303750">
      <w:bodyDiv w:val="1"/>
      <w:marLeft w:val="0"/>
      <w:marRight w:val="0"/>
      <w:marTop w:val="0"/>
      <w:marBottom w:val="0"/>
      <w:divBdr>
        <w:top w:val="none" w:sz="0" w:space="0" w:color="auto"/>
        <w:left w:val="none" w:sz="0" w:space="0" w:color="auto"/>
        <w:bottom w:val="none" w:sz="0" w:space="0" w:color="auto"/>
        <w:right w:val="none" w:sz="0" w:space="0" w:color="auto"/>
      </w:divBdr>
    </w:div>
    <w:div w:id="1180466815">
      <w:bodyDiv w:val="1"/>
      <w:marLeft w:val="0"/>
      <w:marRight w:val="0"/>
      <w:marTop w:val="0"/>
      <w:marBottom w:val="0"/>
      <w:divBdr>
        <w:top w:val="none" w:sz="0" w:space="0" w:color="auto"/>
        <w:left w:val="none" w:sz="0" w:space="0" w:color="auto"/>
        <w:bottom w:val="none" w:sz="0" w:space="0" w:color="auto"/>
        <w:right w:val="none" w:sz="0" w:space="0" w:color="auto"/>
      </w:divBdr>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297492276">
      <w:bodyDiv w:val="1"/>
      <w:marLeft w:val="0"/>
      <w:marRight w:val="0"/>
      <w:marTop w:val="0"/>
      <w:marBottom w:val="0"/>
      <w:divBdr>
        <w:top w:val="none" w:sz="0" w:space="0" w:color="auto"/>
        <w:left w:val="none" w:sz="0" w:space="0" w:color="auto"/>
        <w:bottom w:val="none" w:sz="0" w:space="0" w:color="auto"/>
        <w:right w:val="none" w:sz="0" w:space="0" w:color="auto"/>
      </w:divBdr>
    </w:div>
    <w:div w:id="1301107390">
      <w:bodyDiv w:val="1"/>
      <w:marLeft w:val="0"/>
      <w:marRight w:val="0"/>
      <w:marTop w:val="0"/>
      <w:marBottom w:val="0"/>
      <w:divBdr>
        <w:top w:val="none" w:sz="0" w:space="0" w:color="auto"/>
        <w:left w:val="none" w:sz="0" w:space="0" w:color="auto"/>
        <w:bottom w:val="none" w:sz="0" w:space="0" w:color="auto"/>
        <w:right w:val="none" w:sz="0" w:space="0" w:color="auto"/>
      </w:divBdr>
    </w:div>
    <w:div w:id="1497499951">
      <w:bodyDiv w:val="1"/>
      <w:marLeft w:val="0"/>
      <w:marRight w:val="0"/>
      <w:marTop w:val="0"/>
      <w:marBottom w:val="0"/>
      <w:divBdr>
        <w:top w:val="none" w:sz="0" w:space="0" w:color="auto"/>
        <w:left w:val="none" w:sz="0" w:space="0" w:color="auto"/>
        <w:bottom w:val="none" w:sz="0" w:space="0" w:color="auto"/>
        <w:right w:val="none" w:sz="0" w:space="0" w:color="auto"/>
      </w:divBdr>
    </w:div>
    <w:div w:id="1614433106">
      <w:bodyDiv w:val="1"/>
      <w:marLeft w:val="0"/>
      <w:marRight w:val="0"/>
      <w:marTop w:val="0"/>
      <w:marBottom w:val="0"/>
      <w:divBdr>
        <w:top w:val="none" w:sz="0" w:space="0" w:color="auto"/>
        <w:left w:val="none" w:sz="0" w:space="0" w:color="auto"/>
        <w:bottom w:val="none" w:sz="0" w:space="0" w:color="auto"/>
        <w:right w:val="none" w:sz="0" w:space="0" w:color="auto"/>
      </w:divBdr>
    </w:div>
    <w:div w:id="1649240381">
      <w:bodyDiv w:val="1"/>
      <w:marLeft w:val="0"/>
      <w:marRight w:val="0"/>
      <w:marTop w:val="0"/>
      <w:marBottom w:val="0"/>
      <w:divBdr>
        <w:top w:val="none" w:sz="0" w:space="0" w:color="auto"/>
        <w:left w:val="none" w:sz="0" w:space="0" w:color="auto"/>
        <w:bottom w:val="none" w:sz="0" w:space="0" w:color="auto"/>
        <w:right w:val="none" w:sz="0" w:space="0" w:color="auto"/>
      </w:divBdr>
    </w:div>
    <w:div w:id="1675067381">
      <w:bodyDiv w:val="1"/>
      <w:marLeft w:val="0"/>
      <w:marRight w:val="0"/>
      <w:marTop w:val="0"/>
      <w:marBottom w:val="0"/>
      <w:divBdr>
        <w:top w:val="none" w:sz="0" w:space="0" w:color="auto"/>
        <w:left w:val="none" w:sz="0" w:space="0" w:color="auto"/>
        <w:bottom w:val="none" w:sz="0" w:space="0" w:color="auto"/>
        <w:right w:val="none" w:sz="0" w:space="0" w:color="auto"/>
      </w:divBdr>
    </w:div>
    <w:div w:id="1811092736">
      <w:bodyDiv w:val="1"/>
      <w:marLeft w:val="0"/>
      <w:marRight w:val="0"/>
      <w:marTop w:val="0"/>
      <w:marBottom w:val="0"/>
      <w:divBdr>
        <w:top w:val="none" w:sz="0" w:space="0" w:color="auto"/>
        <w:left w:val="none" w:sz="0" w:space="0" w:color="auto"/>
        <w:bottom w:val="none" w:sz="0" w:space="0" w:color="auto"/>
        <w:right w:val="none" w:sz="0" w:space="0" w:color="auto"/>
      </w:divBdr>
    </w:div>
    <w:div w:id="1816027190">
      <w:bodyDiv w:val="1"/>
      <w:marLeft w:val="0"/>
      <w:marRight w:val="0"/>
      <w:marTop w:val="0"/>
      <w:marBottom w:val="0"/>
      <w:divBdr>
        <w:top w:val="none" w:sz="0" w:space="0" w:color="auto"/>
        <w:left w:val="none" w:sz="0" w:space="0" w:color="auto"/>
        <w:bottom w:val="none" w:sz="0" w:space="0" w:color="auto"/>
        <w:right w:val="none" w:sz="0" w:space="0" w:color="auto"/>
      </w:divBdr>
    </w:div>
    <w:div w:id="1845394920">
      <w:bodyDiv w:val="1"/>
      <w:marLeft w:val="0"/>
      <w:marRight w:val="0"/>
      <w:marTop w:val="0"/>
      <w:marBottom w:val="0"/>
      <w:divBdr>
        <w:top w:val="none" w:sz="0" w:space="0" w:color="auto"/>
        <w:left w:val="none" w:sz="0" w:space="0" w:color="auto"/>
        <w:bottom w:val="none" w:sz="0" w:space="0" w:color="auto"/>
        <w:right w:val="none" w:sz="0" w:space="0" w:color="auto"/>
      </w:divBdr>
    </w:div>
    <w:div w:id="18761951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1965964860">
      <w:bodyDiv w:val="1"/>
      <w:marLeft w:val="0"/>
      <w:marRight w:val="0"/>
      <w:marTop w:val="0"/>
      <w:marBottom w:val="0"/>
      <w:divBdr>
        <w:top w:val="none" w:sz="0" w:space="0" w:color="auto"/>
        <w:left w:val="none" w:sz="0" w:space="0" w:color="auto"/>
        <w:bottom w:val="none" w:sz="0" w:space="0" w:color="auto"/>
        <w:right w:val="none" w:sz="0" w:space="0" w:color="auto"/>
      </w:divBdr>
    </w:div>
    <w:div w:id="2040936724">
      <w:bodyDiv w:val="1"/>
      <w:marLeft w:val="0"/>
      <w:marRight w:val="0"/>
      <w:marTop w:val="0"/>
      <w:marBottom w:val="0"/>
      <w:divBdr>
        <w:top w:val="none" w:sz="0" w:space="0" w:color="auto"/>
        <w:left w:val="none" w:sz="0" w:space="0" w:color="auto"/>
        <w:bottom w:val="none" w:sz="0" w:space="0" w:color="auto"/>
        <w:right w:val="none" w:sz="0" w:space="0" w:color="auto"/>
      </w:divBdr>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 w:id="21081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RBI5PAMIO524-1616901215-60663</_dlc_DocId>
    <HideFromDelve xmlns="71c5aaf6-e6ce-465b-b873-5148d2a4c105">false</HideFromDelve>
    <Comments xmlns="3f2ce089-3858-4176-9a21-a30f9204848e">OK</Comments>
    <_dlc_DocIdUrl xmlns="71c5aaf6-e6ce-465b-b873-5148d2a4c105">
      <Url>https://nokia.sharepoint.com/sites/gxp/_layouts/15/DocIdRedir.aspx?ID=RBI5PAMIO524-1616901215-60663</Url>
      <Description>RBI5PAMIO524-1616901215-60663</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A75451-59F4-4C27-9B9E-4F0FE91CBFFC}">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D26ED8F-80BE-441E-B823-E2C020924BC9}">
  <ds:schemaRefs>
    <ds:schemaRef ds:uri="Microsoft.SharePoint.Taxonomy.ContentTypeSync"/>
  </ds:schemaRefs>
</ds:datastoreItem>
</file>

<file path=customXml/itemProps4.xml><?xml version="1.0" encoding="utf-8"?>
<ds:datastoreItem xmlns:ds="http://schemas.openxmlformats.org/officeDocument/2006/customXml" ds:itemID="{2B525201-26F2-4CC1-B463-6A136403038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404EA1E-7120-4ABA-9FAD-281C709000A7}">
  <ds:schemaRefs>
    <ds:schemaRef ds:uri="http://schemas.microsoft.com/sharepoint/v3/contenttype/forms"/>
  </ds:schemaRefs>
</ds:datastoreItem>
</file>

<file path=customXml/itemProps6.xml><?xml version="1.0" encoding="utf-8"?>
<ds:datastoreItem xmlns:ds="http://schemas.openxmlformats.org/officeDocument/2006/customXml" ds:itemID="{05EB4E3E-6592-49F2-BEC9-1854DEDC8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Links>
    <vt:vector size="72" baseType="variant">
      <vt:variant>
        <vt:i4>1835066</vt:i4>
      </vt:variant>
      <vt:variant>
        <vt:i4>47</vt:i4>
      </vt:variant>
      <vt:variant>
        <vt:i4>0</vt:i4>
      </vt:variant>
      <vt:variant>
        <vt:i4>5</vt:i4>
      </vt:variant>
      <vt:variant>
        <vt:lpwstr/>
      </vt:variant>
      <vt:variant>
        <vt:lpwstr>_Toc212724892</vt:lpwstr>
      </vt:variant>
      <vt:variant>
        <vt:i4>1835066</vt:i4>
      </vt:variant>
      <vt:variant>
        <vt:i4>44</vt:i4>
      </vt:variant>
      <vt:variant>
        <vt:i4>0</vt:i4>
      </vt:variant>
      <vt:variant>
        <vt:i4>5</vt:i4>
      </vt:variant>
      <vt:variant>
        <vt:lpwstr/>
      </vt:variant>
      <vt:variant>
        <vt:lpwstr>_Toc212724891</vt:lpwstr>
      </vt:variant>
      <vt:variant>
        <vt:i4>1835066</vt:i4>
      </vt:variant>
      <vt:variant>
        <vt:i4>41</vt:i4>
      </vt:variant>
      <vt:variant>
        <vt:i4>0</vt:i4>
      </vt:variant>
      <vt:variant>
        <vt:i4>5</vt:i4>
      </vt:variant>
      <vt:variant>
        <vt:lpwstr/>
      </vt:variant>
      <vt:variant>
        <vt:lpwstr>_Toc212724890</vt:lpwstr>
      </vt:variant>
      <vt:variant>
        <vt:i4>1900602</vt:i4>
      </vt:variant>
      <vt:variant>
        <vt:i4>38</vt:i4>
      </vt:variant>
      <vt:variant>
        <vt:i4>0</vt:i4>
      </vt:variant>
      <vt:variant>
        <vt:i4>5</vt:i4>
      </vt:variant>
      <vt:variant>
        <vt:lpwstr/>
      </vt:variant>
      <vt:variant>
        <vt:lpwstr>_Toc212724889</vt:lpwstr>
      </vt:variant>
      <vt:variant>
        <vt:i4>1900602</vt:i4>
      </vt:variant>
      <vt:variant>
        <vt:i4>35</vt:i4>
      </vt:variant>
      <vt:variant>
        <vt:i4>0</vt:i4>
      </vt:variant>
      <vt:variant>
        <vt:i4>5</vt:i4>
      </vt:variant>
      <vt:variant>
        <vt:lpwstr/>
      </vt:variant>
      <vt:variant>
        <vt:lpwstr>_Toc212724888</vt:lpwstr>
      </vt:variant>
      <vt:variant>
        <vt:i4>1900602</vt:i4>
      </vt:variant>
      <vt:variant>
        <vt:i4>32</vt:i4>
      </vt:variant>
      <vt:variant>
        <vt:i4>0</vt:i4>
      </vt:variant>
      <vt:variant>
        <vt:i4>5</vt:i4>
      </vt:variant>
      <vt:variant>
        <vt:lpwstr/>
      </vt:variant>
      <vt:variant>
        <vt:lpwstr>_Toc212724887</vt:lpwstr>
      </vt:variant>
      <vt:variant>
        <vt:i4>1900602</vt:i4>
      </vt:variant>
      <vt:variant>
        <vt:i4>29</vt:i4>
      </vt:variant>
      <vt:variant>
        <vt:i4>0</vt:i4>
      </vt:variant>
      <vt:variant>
        <vt:i4>5</vt:i4>
      </vt:variant>
      <vt:variant>
        <vt:lpwstr/>
      </vt:variant>
      <vt:variant>
        <vt:lpwstr>_Toc212724886</vt:lpwstr>
      </vt:variant>
      <vt:variant>
        <vt:i4>1900602</vt:i4>
      </vt:variant>
      <vt:variant>
        <vt:i4>26</vt:i4>
      </vt:variant>
      <vt:variant>
        <vt:i4>0</vt:i4>
      </vt:variant>
      <vt:variant>
        <vt:i4>5</vt:i4>
      </vt:variant>
      <vt:variant>
        <vt:lpwstr/>
      </vt:variant>
      <vt:variant>
        <vt:lpwstr>_Toc212724885</vt:lpwstr>
      </vt:variant>
      <vt:variant>
        <vt:i4>1900602</vt:i4>
      </vt:variant>
      <vt:variant>
        <vt:i4>23</vt:i4>
      </vt:variant>
      <vt:variant>
        <vt:i4>0</vt:i4>
      </vt:variant>
      <vt:variant>
        <vt:i4>5</vt:i4>
      </vt:variant>
      <vt:variant>
        <vt:lpwstr/>
      </vt:variant>
      <vt:variant>
        <vt:lpwstr>_Toc212724884</vt:lpwstr>
      </vt:variant>
      <vt:variant>
        <vt:i4>1900602</vt:i4>
      </vt:variant>
      <vt:variant>
        <vt:i4>20</vt:i4>
      </vt:variant>
      <vt:variant>
        <vt:i4>0</vt:i4>
      </vt:variant>
      <vt:variant>
        <vt:i4>5</vt:i4>
      </vt:variant>
      <vt:variant>
        <vt:lpwstr/>
      </vt:variant>
      <vt:variant>
        <vt:lpwstr>_Toc212724883</vt:lpwstr>
      </vt:variant>
      <vt:variant>
        <vt:i4>1900602</vt:i4>
      </vt:variant>
      <vt:variant>
        <vt:i4>17</vt:i4>
      </vt:variant>
      <vt:variant>
        <vt:i4>0</vt:i4>
      </vt:variant>
      <vt:variant>
        <vt:i4>5</vt:i4>
      </vt:variant>
      <vt:variant>
        <vt:lpwstr/>
      </vt:variant>
      <vt:variant>
        <vt:lpwstr>_Toc212724882</vt:lpwstr>
      </vt:variant>
      <vt:variant>
        <vt:i4>1900602</vt:i4>
      </vt:variant>
      <vt:variant>
        <vt:i4>14</vt:i4>
      </vt:variant>
      <vt:variant>
        <vt:i4>0</vt:i4>
      </vt:variant>
      <vt:variant>
        <vt:i4>5</vt:i4>
      </vt:variant>
      <vt:variant>
        <vt:lpwstr/>
      </vt:variant>
      <vt:variant>
        <vt:lpwstr>_Toc212724881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Paiva (Nokia)</dc:creator>
  <cp:keywords/>
  <dc:description/>
  <cp:lastModifiedBy>Rafael Paiva (Nokia)</cp:lastModifiedBy>
  <cp:revision>4</cp:revision>
  <dcterms:created xsi:type="dcterms:W3CDTF">2025-11-07T19:00:00Z</dcterms:created>
  <dcterms:modified xsi:type="dcterms:W3CDTF">2025-11-07T19:07:00Z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86b53dd6-3bb8-44e4-ba8d-54b0e8be9c25</vt:lpwstr>
  </property>
</Properties>
</file>